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E7" w:rsidRPr="00595F75" w:rsidRDefault="008C7A02" w:rsidP="00FA51FA">
      <w:pPr>
        <w:jc w:val="center"/>
        <w:rPr>
          <w:rFonts w:ascii="Times New Roman" w:hAnsi="Times New Roman" w:cs="Times New Roman"/>
          <w:b/>
          <w:sz w:val="24"/>
          <w:szCs w:val="24"/>
          <w:u w:val="single"/>
        </w:rPr>
      </w:pPr>
      <w:r w:rsidRPr="00595F75">
        <w:rPr>
          <w:rFonts w:ascii="Times New Roman" w:hAnsi="Times New Roman" w:cs="Times New Roman"/>
          <w:b/>
          <w:sz w:val="24"/>
          <w:szCs w:val="24"/>
          <w:u w:val="single"/>
        </w:rPr>
        <w:t>RBI Circular</w:t>
      </w:r>
      <w:r w:rsidR="00A50C6D" w:rsidRPr="00595F75">
        <w:rPr>
          <w:rFonts w:ascii="Times New Roman" w:hAnsi="Times New Roman" w:cs="Times New Roman"/>
          <w:b/>
          <w:sz w:val="24"/>
          <w:szCs w:val="24"/>
          <w:u w:val="single"/>
        </w:rPr>
        <w:t xml:space="preserve"> </w:t>
      </w:r>
      <w:r w:rsidRPr="00595F75">
        <w:rPr>
          <w:rFonts w:ascii="Times New Roman" w:hAnsi="Times New Roman" w:cs="Times New Roman"/>
          <w:b/>
          <w:sz w:val="24"/>
          <w:szCs w:val="24"/>
          <w:u w:val="single"/>
        </w:rPr>
        <w:t>Consolidation</w:t>
      </w:r>
      <w:r w:rsidR="00FA51FA" w:rsidRPr="00595F75">
        <w:rPr>
          <w:rFonts w:ascii="Times New Roman" w:hAnsi="Times New Roman" w:cs="Times New Roman"/>
          <w:b/>
          <w:sz w:val="24"/>
          <w:szCs w:val="24"/>
          <w:u w:val="single"/>
        </w:rPr>
        <w:t xml:space="preserve"> - </w:t>
      </w:r>
      <w:r w:rsidR="00EA23F4" w:rsidRPr="00595F75">
        <w:rPr>
          <w:rFonts w:ascii="Times New Roman" w:hAnsi="Times New Roman" w:cs="Times New Roman"/>
          <w:b/>
          <w:sz w:val="24"/>
          <w:szCs w:val="24"/>
          <w:u w:val="single"/>
        </w:rPr>
        <w:t>Jul-Dec</w:t>
      </w:r>
      <w:r w:rsidR="00FA51FA" w:rsidRPr="00595F75">
        <w:rPr>
          <w:rFonts w:ascii="Times New Roman" w:hAnsi="Times New Roman" w:cs="Times New Roman"/>
          <w:b/>
          <w:sz w:val="24"/>
          <w:szCs w:val="24"/>
          <w:u w:val="single"/>
        </w:rPr>
        <w:t>’22</w:t>
      </w:r>
    </w:p>
    <w:p w:rsidR="00BA4199" w:rsidRPr="00595F75" w:rsidRDefault="00BA4199" w:rsidP="00BA4199">
      <w:pPr>
        <w:rPr>
          <w:rFonts w:ascii="Times New Roman" w:hAnsi="Times New Roman" w:cs="Times New Roman"/>
          <w:b/>
          <w:sz w:val="24"/>
          <w:szCs w:val="24"/>
          <w:u w:val="single"/>
        </w:rPr>
      </w:pPr>
    </w:p>
    <w:tbl>
      <w:tblPr>
        <w:tblW w:w="9493" w:type="dxa"/>
        <w:tblLook w:val="04A0" w:firstRow="1" w:lastRow="0" w:firstColumn="1" w:lastColumn="0" w:noHBand="0" w:noVBand="1"/>
      </w:tblPr>
      <w:tblGrid>
        <w:gridCol w:w="763"/>
        <w:gridCol w:w="8730"/>
      </w:tblGrid>
      <w:tr w:rsidR="005065B6" w:rsidRPr="005065B6" w:rsidTr="005065B6">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proofErr w:type="spellStart"/>
            <w:r w:rsidRPr="005065B6">
              <w:rPr>
                <w:rFonts w:ascii="Times New Roman" w:eastAsia="Times New Roman" w:hAnsi="Times New Roman" w:cs="Times New Roman"/>
                <w:b/>
                <w:bCs/>
                <w:sz w:val="24"/>
                <w:szCs w:val="24"/>
                <w:lang w:eastAsia="en-IN"/>
              </w:rPr>
              <w:t>S.No</w:t>
            </w:r>
            <w:proofErr w:type="spellEnd"/>
            <w:r w:rsidRPr="005065B6">
              <w:rPr>
                <w:rFonts w:ascii="Times New Roman" w:eastAsia="Times New Roman" w:hAnsi="Times New Roman" w:cs="Times New Roman"/>
                <w:b/>
                <w:bCs/>
                <w:sz w:val="24"/>
                <w:szCs w:val="24"/>
                <w:lang w:eastAsia="en-IN"/>
              </w:rPr>
              <w:t>.</w:t>
            </w:r>
          </w:p>
        </w:tc>
        <w:tc>
          <w:tcPr>
            <w:tcW w:w="8836" w:type="dxa"/>
            <w:tcBorders>
              <w:top w:val="single" w:sz="4" w:space="0" w:color="auto"/>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Note Sorting Machines - Authentication and Fitness Sorting Parameters</w:t>
            </w:r>
          </w:p>
        </w:tc>
      </w:tr>
      <w:tr w:rsidR="005065B6" w:rsidRPr="005065B6" w:rsidTr="005065B6">
        <w:trPr>
          <w:trHeight w:val="726"/>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Requirement for obtaining prior approval in case of takeover / acquisition of control of non-bank PSOs and sale / transfer of payment system activity of non-bank PSO</w:t>
            </w:r>
          </w:p>
        </w:tc>
      </w:tr>
      <w:tr w:rsidR="005065B6" w:rsidRPr="005065B6" w:rsidTr="005065B6">
        <w:trPr>
          <w:trHeight w:val="69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Master Direction on Interest Rate on Deposits - Foreign Currency (Non-resident) Accounts (Banks) Scheme [FCNR(B)] and Non-Resident (External) Rupee (NRE) Deposit</w:t>
            </w:r>
          </w:p>
        </w:tc>
      </w:tr>
      <w:tr w:rsidR="005065B6" w:rsidRPr="005065B6" w:rsidTr="005065B6">
        <w:trPr>
          <w:trHeight w:val="704"/>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Section 42 of the Reserve Bank of India Act, 1934 and Section 18 and 24 of the Banking Regulation Act, 1949 – FCNR (B)/NRE Term deposits - Exemption from maintenance of CRR/SLR</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Investment by Foreign Portfolio Investors (FPI) in Debt - Relaxations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6</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Overseas foreign currency borrowings of Authorised Dealer Category-I banks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7</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International Trade Settlement in Indian Rupees (INR)</w:t>
            </w:r>
          </w:p>
        </w:tc>
      </w:tr>
      <w:tr w:rsidR="005065B6" w:rsidRPr="005065B6" w:rsidTr="005065B6">
        <w:trPr>
          <w:trHeight w:val="76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8</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 xml:space="preserve">Master Circular – </w:t>
            </w:r>
            <w:proofErr w:type="spellStart"/>
            <w:r w:rsidRPr="005065B6">
              <w:rPr>
                <w:rFonts w:ascii="Times New Roman" w:eastAsia="Times New Roman" w:hAnsi="Times New Roman" w:cs="Times New Roman"/>
                <w:color w:val="000000"/>
                <w:sz w:val="24"/>
                <w:szCs w:val="24"/>
                <w:lang w:eastAsia="en-IN"/>
              </w:rPr>
              <w:t>Deendayal</w:t>
            </w:r>
            <w:proofErr w:type="spellEnd"/>
            <w:r w:rsidRPr="005065B6">
              <w:rPr>
                <w:rFonts w:ascii="Times New Roman" w:eastAsia="Times New Roman" w:hAnsi="Times New Roman" w:cs="Times New Roman"/>
                <w:color w:val="000000"/>
                <w:sz w:val="24"/>
                <w:szCs w:val="24"/>
                <w:lang w:eastAsia="en-IN"/>
              </w:rPr>
              <w:t xml:space="preserve"> </w:t>
            </w:r>
            <w:proofErr w:type="spellStart"/>
            <w:r w:rsidRPr="005065B6">
              <w:rPr>
                <w:rFonts w:ascii="Times New Roman" w:eastAsia="Times New Roman" w:hAnsi="Times New Roman" w:cs="Times New Roman"/>
                <w:color w:val="000000"/>
                <w:sz w:val="24"/>
                <w:szCs w:val="24"/>
                <w:lang w:eastAsia="en-IN"/>
              </w:rPr>
              <w:t>Antyodaya</w:t>
            </w:r>
            <w:proofErr w:type="spellEnd"/>
            <w:r w:rsidRPr="005065B6">
              <w:rPr>
                <w:rFonts w:ascii="Times New Roman" w:eastAsia="Times New Roman" w:hAnsi="Times New Roman" w:cs="Times New Roman"/>
                <w:color w:val="000000"/>
                <w:sz w:val="24"/>
                <w:szCs w:val="24"/>
                <w:lang w:eastAsia="en-IN"/>
              </w:rPr>
              <w:t xml:space="preserve"> </w:t>
            </w:r>
            <w:proofErr w:type="spellStart"/>
            <w:r w:rsidRPr="005065B6">
              <w:rPr>
                <w:rFonts w:ascii="Times New Roman" w:eastAsia="Times New Roman" w:hAnsi="Times New Roman" w:cs="Times New Roman"/>
                <w:color w:val="000000"/>
                <w:sz w:val="24"/>
                <w:szCs w:val="24"/>
                <w:lang w:eastAsia="en-IN"/>
              </w:rPr>
              <w:t>Yojana</w:t>
            </w:r>
            <w:proofErr w:type="spellEnd"/>
            <w:r w:rsidRPr="005065B6">
              <w:rPr>
                <w:rFonts w:ascii="Times New Roman" w:eastAsia="Times New Roman" w:hAnsi="Times New Roman" w:cs="Times New Roman"/>
                <w:color w:val="000000"/>
                <w:sz w:val="24"/>
                <w:szCs w:val="24"/>
                <w:lang w:eastAsia="en-IN"/>
              </w:rPr>
              <w:t xml:space="preserve"> - National Rural Livelihoods Mission (DAY-NRLM)</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9</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Board approved Loan Policy – Management of Advances - UCBs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10</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Restriction on Storage of Actual Card Data [i.e. Card-on-File (</w:t>
            </w:r>
            <w:proofErr w:type="spellStart"/>
            <w:r w:rsidRPr="005065B6">
              <w:rPr>
                <w:rFonts w:ascii="Times New Roman" w:eastAsia="Times New Roman" w:hAnsi="Times New Roman" w:cs="Times New Roman"/>
                <w:color w:val="000000"/>
                <w:sz w:val="24"/>
                <w:szCs w:val="24"/>
                <w:lang w:eastAsia="en-IN"/>
              </w:rPr>
              <w:t>CoF</w:t>
            </w:r>
            <w:proofErr w:type="spellEnd"/>
            <w:r w:rsidRPr="005065B6">
              <w:rPr>
                <w:rFonts w:ascii="Times New Roman" w:eastAsia="Times New Roman" w:hAnsi="Times New Roman" w:cs="Times New Roman"/>
                <w:color w:val="000000"/>
                <w:sz w:val="24"/>
                <w:szCs w:val="24"/>
                <w:lang w:eastAsia="en-IN"/>
              </w:rPr>
              <w:t>)]</w:t>
            </w:r>
          </w:p>
        </w:tc>
      </w:tr>
      <w:tr w:rsidR="005065B6" w:rsidRPr="005065B6" w:rsidTr="005065B6">
        <w:trPr>
          <w:trHeight w:val="76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11</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Foreign Exchange Management (Borrowing and Lending) (Amendment) Regulations, 2022</w:t>
            </w:r>
          </w:p>
        </w:tc>
      </w:tr>
      <w:tr w:rsidR="005065B6" w:rsidRPr="005065B6" w:rsidTr="00595F75">
        <w:trPr>
          <w:trHeight w:val="678"/>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12</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Master Circular - Credit facilities to Scheduled Castes (SCs) &amp; Scheduled Tribes (STs)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13</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External Commercial Borrowings (ECB) Policy – Liberalisation Measures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14</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Master Circular on Credit Facilities to Minority Communities</w:t>
            </w:r>
          </w:p>
        </w:tc>
      </w:tr>
      <w:tr w:rsidR="005065B6" w:rsidRPr="005065B6" w:rsidTr="005065B6">
        <w:trPr>
          <w:trHeight w:val="54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15</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Gold Monetization Scheme (GMS), 2015</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16</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Reserve Bank - Integrated Ombudsman Scheme, 2021 (RBIOS, 2021)</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17</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sz w:val="24"/>
                <w:szCs w:val="24"/>
                <w:lang w:eastAsia="en-IN"/>
              </w:rPr>
            </w:pPr>
            <w:r w:rsidRPr="005065B6">
              <w:rPr>
                <w:rFonts w:ascii="Times New Roman" w:eastAsia="Times New Roman" w:hAnsi="Times New Roman" w:cs="Times New Roman"/>
                <w:sz w:val="24"/>
                <w:szCs w:val="24"/>
                <w:lang w:eastAsia="en-IN"/>
              </w:rPr>
              <w:t>Authorised Dealer Category-I License eligibility for Small Finance Banks</w:t>
            </w:r>
          </w:p>
        </w:tc>
      </w:tr>
      <w:tr w:rsidR="005065B6" w:rsidRPr="005065B6" w:rsidTr="005065B6">
        <w:trPr>
          <w:trHeight w:val="51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18</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Rupee Interest Rate Derivatives (Reserve Bank) Directions - Review</w:t>
            </w:r>
          </w:p>
        </w:tc>
      </w:tr>
      <w:tr w:rsidR="005065B6" w:rsidRPr="005065B6" w:rsidTr="00595F75">
        <w:trPr>
          <w:trHeight w:val="12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19</w:t>
            </w:r>
          </w:p>
        </w:tc>
        <w:tc>
          <w:tcPr>
            <w:tcW w:w="8836" w:type="dxa"/>
            <w:tcBorders>
              <w:top w:val="nil"/>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Section 23 of the Banking Regulation Act, 1949 (As Applicable to Co-operative Societies) – Opening of new place of business by District Central Co-operative Banks (DCCBs)</w:t>
            </w:r>
          </w:p>
        </w:tc>
      </w:tr>
      <w:tr w:rsidR="005065B6" w:rsidRPr="00595F75" w:rsidTr="00595F75">
        <w:trPr>
          <w:trHeight w:val="55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proofErr w:type="spellStart"/>
            <w:r w:rsidRPr="005065B6">
              <w:rPr>
                <w:rFonts w:ascii="Times New Roman" w:eastAsia="Times New Roman" w:hAnsi="Times New Roman" w:cs="Times New Roman"/>
                <w:b/>
                <w:bCs/>
                <w:sz w:val="24"/>
                <w:szCs w:val="24"/>
                <w:lang w:eastAsia="en-IN"/>
              </w:rPr>
              <w:lastRenderedPageBreak/>
              <w:t>S.No</w:t>
            </w:r>
            <w:proofErr w:type="spellEnd"/>
            <w:r w:rsidRPr="005065B6">
              <w:rPr>
                <w:rFonts w:ascii="Times New Roman" w:eastAsia="Times New Roman" w:hAnsi="Times New Roman" w:cs="Times New Roman"/>
                <w:b/>
                <w:bCs/>
                <w:sz w:val="24"/>
                <w:szCs w:val="24"/>
                <w:lang w:eastAsia="en-IN"/>
              </w:rPr>
              <w:t>.</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5065B6" w:rsidRPr="005065B6" w:rsidTr="00595F75">
        <w:trPr>
          <w:trHeight w:val="49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20</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Bilateral Netting of Qualified Financial Contracts - Amendments to Prudential Guidelines</w:t>
            </w:r>
          </w:p>
        </w:tc>
      </w:tr>
      <w:tr w:rsidR="005065B6" w:rsidRPr="005065B6" w:rsidTr="00595F75">
        <w:trPr>
          <w:trHeight w:val="561"/>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21</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Outsourcing of Financial Services - Responsibilities of regulated entities employing Recovery Agents</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22</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Foreign Exchange Management (Overseas Investment) Regulations, 2022</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23</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Foreign Exchange Management (Overseas Investment) Directions, 2022</w:t>
            </w:r>
          </w:p>
        </w:tc>
      </w:tr>
      <w:tr w:rsidR="005065B6" w:rsidRPr="005065B6" w:rsidTr="00595F75">
        <w:trPr>
          <w:trHeight w:val="52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24</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Guidelines on Digital Lending</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25</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Incentive for improving service to non-chest branches</w:t>
            </w:r>
          </w:p>
        </w:tc>
      </w:tr>
      <w:tr w:rsidR="005065B6" w:rsidRPr="005065B6" w:rsidTr="00595F75">
        <w:trPr>
          <w:trHeight w:val="53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26</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Review of Prudential Norms – Risk Weights for Exposures guaranteed by Credit Guarantee Schemes (CGS)</w:t>
            </w:r>
          </w:p>
        </w:tc>
      </w:tr>
      <w:tr w:rsidR="005065B6" w:rsidRPr="005065B6" w:rsidTr="00595F75">
        <w:trPr>
          <w:trHeight w:val="758"/>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27</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Rupee Drawing Arrangement - Enabling Bharat Bill Payment System (BBPS) to process cross-border inbound Bill Payments</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28</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Master Directions on Interest Rate on Deposits</w:t>
            </w:r>
          </w:p>
        </w:tc>
      </w:tr>
      <w:tr w:rsidR="005065B6" w:rsidRPr="005065B6" w:rsidTr="00595F75">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29</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Compliance Function and Role of Chief Compliance Officer (CCO)- Urban Co-operative Banks</w:t>
            </w:r>
          </w:p>
        </w:tc>
      </w:tr>
      <w:tr w:rsidR="005065B6" w:rsidRPr="005065B6" w:rsidTr="00595F75">
        <w:trPr>
          <w:trHeight w:val="53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30</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Late Submission Fee for reporting delays under Foreign Exchange Management Act, 1999 (FEMA)</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31</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Appointment of Internal Ombudsman by the Credit Information Companies</w:t>
            </w:r>
          </w:p>
        </w:tc>
      </w:tr>
      <w:tr w:rsidR="005065B6" w:rsidRPr="005065B6" w:rsidTr="00595F75">
        <w:trPr>
          <w:trHeight w:val="608"/>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32</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Review of Prudential Norms – Risk Weights for Exposures to Corporates and NBFCs</w:t>
            </w:r>
          </w:p>
        </w:tc>
      </w:tr>
      <w:tr w:rsidR="005065B6" w:rsidRPr="005065B6" w:rsidTr="00595F75">
        <w:trPr>
          <w:trHeight w:val="53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33</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Diversification of activities by SPDs – Review of permissible non-core activities</w:t>
            </w:r>
          </w:p>
        </w:tc>
      </w:tr>
      <w:tr w:rsidR="005065B6" w:rsidRPr="005065B6" w:rsidTr="00595F75">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34</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Diversification of activities by SPDs – Review of permissible non-core activities – Prudential regulations and other instructions</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35</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Review of Regulatory Framework for Asset Reconstruction Companies (ARCs)</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36</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Multiple NBFCs in a Group: Classification in Middle Layer</w:t>
            </w:r>
          </w:p>
        </w:tc>
      </w:tr>
      <w:tr w:rsidR="005065B6" w:rsidRPr="005065B6" w:rsidTr="00595F75">
        <w:trPr>
          <w:trHeight w:val="9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37</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Reserve Bank of India (Financial Statements - Presentation and Disclosures) Directions, 2021 - Disclosure of Divergence in Asset Classification and Provisioning</w:t>
            </w:r>
          </w:p>
        </w:tc>
      </w:tr>
      <w:tr w:rsidR="005065B6" w:rsidRPr="005065B6"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38</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Reserve Bank of India (Unhedged Foreign Currency Exposure) Directions, 2022</w:t>
            </w:r>
          </w:p>
        </w:tc>
      </w:tr>
      <w:tr w:rsidR="005065B6" w:rsidRPr="005065B6" w:rsidTr="00595F75">
        <w:trPr>
          <w:trHeight w:val="799"/>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39</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Claims Received from the National Credit Guarantee Trustee Company Ltd (NCGTC) - Classification for the Purpose of Maintenance of Cash Reserve Ratio (CRR)/Statutory Liquidity Ratio (SLR)</w:t>
            </w:r>
          </w:p>
        </w:tc>
      </w:tr>
      <w:tr w:rsidR="005065B6" w:rsidRPr="005065B6" w:rsidTr="00595F75">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40</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Eligibility Criteria for offering Internet Banking Facility by Regional Rural Banks, 2022</w:t>
            </w:r>
          </w:p>
        </w:tc>
      </w:tr>
      <w:tr w:rsidR="005065B6" w:rsidRPr="00595F75" w:rsidTr="00595F75">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proofErr w:type="spellStart"/>
            <w:r w:rsidRPr="005065B6">
              <w:rPr>
                <w:rFonts w:ascii="Times New Roman" w:eastAsia="Times New Roman" w:hAnsi="Times New Roman" w:cs="Times New Roman"/>
                <w:b/>
                <w:bCs/>
                <w:sz w:val="24"/>
                <w:szCs w:val="24"/>
                <w:lang w:eastAsia="en-IN"/>
              </w:rPr>
              <w:lastRenderedPageBreak/>
              <w:t>S.No</w:t>
            </w:r>
            <w:proofErr w:type="spellEnd"/>
            <w:r w:rsidRPr="005065B6">
              <w:rPr>
                <w:rFonts w:ascii="Times New Roman" w:eastAsia="Times New Roman" w:hAnsi="Times New Roman" w:cs="Times New Roman"/>
                <w:b/>
                <w:bCs/>
                <w:sz w:val="24"/>
                <w:szCs w:val="24"/>
                <w:lang w:eastAsia="en-IN"/>
              </w:rPr>
              <w:t>.</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5065B6" w:rsidRPr="005065B6" w:rsidTr="005004E7">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41</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Agency Commission for Direct Tax collection under TIN 2.0 regime</w:t>
            </w:r>
          </w:p>
        </w:tc>
      </w:tr>
      <w:tr w:rsidR="005065B6" w:rsidRPr="005065B6" w:rsidTr="005004E7">
        <w:trPr>
          <w:trHeight w:val="103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42</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 xml:space="preserve">Modified Interest Subvention Scheme for Short Term Loans for Agriculture and Allied Activities availed through </w:t>
            </w:r>
            <w:proofErr w:type="spellStart"/>
            <w:r w:rsidRPr="005065B6">
              <w:rPr>
                <w:rFonts w:ascii="Times New Roman" w:eastAsia="Times New Roman" w:hAnsi="Times New Roman" w:cs="Times New Roman"/>
                <w:color w:val="000000"/>
                <w:sz w:val="24"/>
                <w:szCs w:val="24"/>
                <w:lang w:eastAsia="en-IN"/>
              </w:rPr>
              <w:t>Kisan</w:t>
            </w:r>
            <w:proofErr w:type="spellEnd"/>
            <w:r w:rsidRPr="005065B6">
              <w:rPr>
                <w:rFonts w:ascii="Times New Roman" w:eastAsia="Times New Roman" w:hAnsi="Times New Roman" w:cs="Times New Roman"/>
                <w:color w:val="000000"/>
                <w:sz w:val="24"/>
                <w:szCs w:val="24"/>
                <w:lang w:eastAsia="en-IN"/>
              </w:rPr>
              <w:t xml:space="preserve"> Credit Card (KCC) during the financial years 2022-23 and 2023-24</w:t>
            </w:r>
          </w:p>
        </w:tc>
      </w:tr>
      <w:tr w:rsidR="005065B6" w:rsidRPr="005065B6" w:rsidTr="005004E7">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43</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Inclusion of Goods and Service Tax Network (GSTN) as a Financial Information Provider under Account Aggregator Framework</w:t>
            </w:r>
          </w:p>
        </w:tc>
      </w:tr>
      <w:tr w:rsidR="005065B6" w:rsidRPr="005065B6" w:rsidTr="005004E7">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44</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Basel III Framework on Liquidity Standards – Standing Deposit Facility</w:t>
            </w:r>
          </w:p>
        </w:tc>
      </w:tr>
      <w:tr w:rsidR="005065B6" w:rsidRPr="005065B6" w:rsidTr="005004E7">
        <w:trPr>
          <w:trHeight w:val="492"/>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45</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Notification of Significant Benchmark</w:t>
            </w:r>
          </w:p>
        </w:tc>
      </w:tr>
      <w:tr w:rsidR="005065B6" w:rsidRPr="005065B6" w:rsidTr="005004E7">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46</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Review of norms for classification of Urban Co-operative Banks (UCBs) as Financially Sound and Well Managed (FSWM)</w:t>
            </w:r>
          </w:p>
        </w:tc>
      </w:tr>
      <w:tr w:rsidR="005065B6" w:rsidRPr="005065B6" w:rsidTr="005004E7">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47</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Revised Regulatory Framework - Categorization of Urban Co-operative Banks (UCBs) for Regulatory Purposes</w:t>
            </w:r>
          </w:p>
        </w:tc>
      </w:tr>
      <w:tr w:rsidR="005065B6" w:rsidRPr="005065B6" w:rsidTr="005004E7">
        <w:trPr>
          <w:trHeight w:val="1021"/>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48</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 xml:space="preserve">Operations of subsidiaries and branches of Indian banks and All India Financial Institutions (AIFIs) in foreign jurisdictions and in International Financial Services </w:t>
            </w:r>
            <w:proofErr w:type="spellStart"/>
            <w:r w:rsidRPr="005065B6">
              <w:rPr>
                <w:rFonts w:ascii="Times New Roman" w:eastAsia="Times New Roman" w:hAnsi="Times New Roman" w:cs="Times New Roman"/>
                <w:color w:val="000000"/>
                <w:sz w:val="24"/>
                <w:szCs w:val="24"/>
                <w:lang w:eastAsia="en-IN"/>
              </w:rPr>
              <w:t>Centers</w:t>
            </w:r>
            <w:proofErr w:type="spellEnd"/>
            <w:r w:rsidRPr="005065B6">
              <w:rPr>
                <w:rFonts w:ascii="Times New Roman" w:eastAsia="Times New Roman" w:hAnsi="Times New Roman" w:cs="Times New Roman"/>
                <w:color w:val="000000"/>
                <w:sz w:val="24"/>
                <w:szCs w:val="24"/>
                <w:lang w:eastAsia="en-IN"/>
              </w:rPr>
              <w:t xml:space="preserve"> (IFSCs) - Compliance with statutory/regulatory norms</w:t>
            </w:r>
          </w:p>
        </w:tc>
      </w:tr>
      <w:tr w:rsidR="005065B6" w:rsidRPr="005065B6" w:rsidTr="005004E7">
        <w:trPr>
          <w:trHeight w:val="76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49</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Revised Regulatory Framework for Urban Co-operative Banks (UCBs) – Net Worth and Capital Adequacy</w:t>
            </w:r>
          </w:p>
        </w:tc>
      </w:tr>
      <w:tr w:rsidR="005065B6" w:rsidRPr="005065B6" w:rsidTr="005004E7">
        <w:trPr>
          <w:trHeight w:val="57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50</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Review of SLR holdings in HTM category</w:t>
            </w:r>
          </w:p>
        </w:tc>
      </w:tr>
      <w:tr w:rsidR="005065B6" w:rsidRPr="005065B6" w:rsidTr="005004E7">
        <w:trPr>
          <w:trHeight w:val="51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51</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Hedging of Gold Price Risk in Overseas Markets</w:t>
            </w:r>
          </w:p>
        </w:tc>
      </w:tr>
      <w:tr w:rsidR="005065B6" w:rsidRPr="005065B6" w:rsidTr="005004E7">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52</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Master Direction – Foreign Exchange Management (Hedging of Commodity Price Risk and Freight Risk in Overseas Markets) Directions, 2022</w:t>
            </w:r>
          </w:p>
        </w:tc>
      </w:tr>
      <w:tr w:rsidR="005065B6" w:rsidRPr="005065B6" w:rsidTr="005004E7">
        <w:trPr>
          <w:trHeight w:val="102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53</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Data Format for Furnishing of Credit Information to Credit Information Companies and other Regulatory Measures</w:t>
            </w:r>
          </w:p>
        </w:tc>
      </w:tr>
      <w:tr w:rsidR="005065B6" w:rsidRPr="005065B6" w:rsidTr="005004E7">
        <w:trPr>
          <w:trHeight w:val="96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54</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Reserve Bank of India (Financial Statements - Presentation and Disclosures) Directions, 2021 - Disclosure of material items</w:t>
            </w:r>
          </w:p>
        </w:tc>
      </w:tr>
      <w:tr w:rsidR="005065B6" w:rsidRPr="005065B6" w:rsidTr="005004E7">
        <w:trPr>
          <w:trHeight w:val="776"/>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55</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Central Payments Fraud Information Registry – Migration of Reporting to DAKSH</w:t>
            </w:r>
          </w:p>
        </w:tc>
      </w:tr>
      <w:tr w:rsidR="005065B6" w:rsidRPr="005065B6" w:rsidTr="005004E7">
        <w:trPr>
          <w:trHeight w:val="9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56</w:t>
            </w:r>
          </w:p>
        </w:tc>
        <w:tc>
          <w:tcPr>
            <w:tcW w:w="8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Individual Housing loans – Revised limits under four-tiered regulatory framework</w:t>
            </w:r>
          </w:p>
        </w:tc>
      </w:tr>
    </w:tbl>
    <w:p w:rsidR="008C7A02" w:rsidRPr="00470480" w:rsidRDefault="008C7A02" w:rsidP="008C7A02">
      <w:pPr>
        <w:jc w:val="both"/>
        <w:rPr>
          <w:rFonts w:ascii="Arial" w:hAnsi="Arial" w:cs="Arial"/>
          <w:b/>
          <w:bCs/>
          <w:color w:val="000000"/>
          <w:sz w:val="20"/>
          <w:szCs w:val="20"/>
        </w:rPr>
      </w:pPr>
    </w:p>
    <w:p w:rsidR="006458AB" w:rsidRDefault="006458AB" w:rsidP="006458AB">
      <w:pPr>
        <w:rPr>
          <w:rFonts w:ascii="Arial" w:hAnsi="Arial" w:cs="Arial"/>
          <w:b/>
          <w:bCs/>
          <w:color w:val="000000"/>
          <w:sz w:val="20"/>
          <w:szCs w:val="20"/>
        </w:rPr>
      </w:pPr>
      <w:r>
        <w:rPr>
          <w:rFonts w:ascii="Arial" w:hAnsi="Arial" w:cs="Arial"/>
          <w:b/>
          <w:bCs/>
          <w:color w:val="000000"/>
          <w:sz w:val="20"/>
          <w:szCs w:val="20"/>
        </w:rPr>
        <w:lastRenderedPageBreak/>
        <w:t>Note Sorting Machines - Authentication and Fitness Sorting Parameters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RBI/2022-23/79</w:t>
      </w:r>
      <w:r>
        <w:rPr>
          <w:rFonts w:ascii="Arial" w:hAnsi="Arial" w:cs="Arial"/>
          <w:color w:val="000000"/>
          <w:sz w:val="20"/>
          <w:szCs w:val="20"/>
        </w:rPr>
        <w:br/>
        <w:t>DCM(NPD)No.S488/18.00.14/2022-23</w:t>
      </w:r>
    </w:p>
    <w:p w:rsidR="006458AB" w:rsidRDefault="006458AB" w:rsidP="006458AB">
      <w:pPr>
        <w:pStyle w:val="NormalWeb"/>
        <w:jc w:val="right"/>
        <w:rPr>
          <w:rFonts w:ascii="Arial" w:hAnsi="Arial" w:cs="Arial"/>
          <w:color w:val="000000"/>
          <w:sz w:val="20"/>
          <w:szCs w:val="20"/>
        </w:rPr>
      </w:pPr>
      <w:r>
        <w:rPr>
          <w:rFonts w:ascii="Arial" w:hAnsi="Arial" w:cs="Arial"/>
          <w:color w:val="000000"/>
          <w:sz w:val="20"/>
          <w:szCs w:val="20"/>
        </w:rPr>
        <w:t>July 1, 2022</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The Chairman/ Managing Director/ Chief Executive Officers</w:t>
      </w:r>
      <w:r>
        <w:rPr>
          <w:rFonts w:ascii="Arial" w:hAnsi="Arial" w:cs="Arial"/>
          <w:color w:val="000000"/>
          <w:sz w:val="20"/>
          <w:szCs w:val="20"/>
        </w:rPr>
        <w:br/>
        <w:t>All Banks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Dear Sir/Madam</w:t>
      </w:r>
    </w:p>
    <w:p w:rsidR="006458AB" w:rsidRDefault="006458AB" w:rsidP="006458AB">
      <w:pPr>
        <w:pStyle w:val="head"/>
        <w:rPr>
          <w:rFonts w:ascii="Arial" w:hAnsi="Arial" w:cs="Arial"/>
          <w:b/>
          <w:bCs/>
          <w:color w:val="000000"/>
          <w:sz w:val="20"/>
          <w:szCs w:val="20"/>
        </w:rPr>
      </w:pPr>
      <w:r>
        <w:rPr>
          <w:rFonts w:ascii="Arial" w:hAnsi="Arial" w:cs="Arial"/>
          <w:b/>
          <w:bCs/>
          <w:color w:val="000000"/>
          <w:sz w:val="20"/>
          <w:szCs w:val="20"/>
        </w:rPr>
        <w:t>Note Sorting Machines - Authentication and Fitness Sorting Parameters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Please refer to our </w:t>
      </w:r>
      <w:hyperlink r:id="rId5" w:tgtFrame="_blank" w:history="1">
        <w:r>
          <w:rPr>
            <w:rStyle w:val="Hyperlink"/>
            <w:rFonts w:ascii="Arial" w:hAnsi="Arial" w:cs="Arial"/>
            <w:sz w:val="20"/>
            <w:szCs w:val="20"/>
          </w:rPr>
          <w:t>circular DCM(R&amp;D)No.G-26/18.00.14/2009-10 dated May 11, 2010</w:t>
        </w:r>
      </w:hyperlink>
      <w:r>
        <w:rPr>
          <w:rFonts w:ascii="Arial" w:hAnsi="Arial" w:cs="Arial"/>
          <w:color w:val="000000"/>
          <w:sz w:val="20"/>
          <w:szCs w:val="20"/>
        </w:rPr>
        <w:t> setting out ''Note Authentication and Fitness Sorting Parameters'' for the Note Sorting Machines installed in the banks.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2. In the backdrop of introduction of the new series banknotes, these parameters have been reviewed and a revised set of guidelines are </w:t>
      </w:r>
      <w:hyperlink r:id="rId6" w:anchor="GL" w:history="1">
        <w:r>
          <w:rPr>
            <w:rStyle w:val="Hyperlink"/>
            <w:rFonts w:ascii="Arial" w:hAnsi="Arial" w:cs="Arial"/>
            <w:sz w:val="20"/>
            <w:szCs w:val="20"/>
          </w:rPr>
          <w:t>enclosed</w:t>
        </w:r>
      </w:hyperlink>
      <w:r>
        <w:rPr>
          <w:rFonts w:ascii="Arial" w:hAnsi="Arial" w:cs="Arial"/>
          <w:color w:val="000000"/>
          <w:sz w:val="20"/>
          <w:szCs w:val="20"/>
        </w:rPr>
        <w:t> for implementation.</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3. The guidelines shall be implemented with immediate effect.</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Yours faithfully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r>
        <w:t>More details can be referred to in the below link.</w:t>
      </w:r>
    </w:p>
    <w:p w:rsidR="006458AB" w:rsidRDefault="006458AB" w:rsidP="006458AB">
      <w:pPr>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6865D6">
          <w:rPr>
            <w:rStyle w:val="Hyperlink"/>
            <w:rFonts w:ascii="Arial" w:hAnsi="Arial" w:cs="Arial"/>
            <w:bCs/>
            <w:sz w:val="20"/>
            <w:szCs w:val="20"/>
          </w:rPr>
          <w:t>https://www.rbi.org.in/Scripts/NotificationUser.aspx?Id=12347&amp;Mode=0</w:t>
        </w:r>
      </w:hyperlink>
    </w:p>
    <w:p w:rsidR="00E653FA" w:rsidRDefault="00E653FA"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6458AB">
      <w:pPr>
        <w:rPr>
          <w:rFonts w:ascii="Arial" w:hAnsi="Arial" w:cs="Arial"/>
          <w:b/>
          <w:bCs/>
          <w:color w:val="000000"/>
          <w:sz w:val="20"/>
          <w:szCs w:val="20"/>
        </w:rPr>
      </w:pPr>
      <w:r>
        <w:rPr>
          <w:rFonts w:ascii="Arial" w:hAnsi="Arial" w:cs="Arial"/>
          <w:b/>
          <w:bCs/>
          <w:color w:val="000000"/>
          <w:sz w:val="20"/>
          <w:szCs w:val="20"/>
        </w:rPr>
        <w:lastRenderedPageBreak/>
        <w:t>Requirement for obtaining prior approval in case of takeover / acquisition of control of non-bank PSOs and sale / transfer of payment system activity of non-bank PSO</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RBI/2022-23/80</w:t>
      </w:r>
      <w:r>
        <w:rPr>
          <w:rFonts w:ascii="Arial" w:hAnsi="Arial" w:cs="Arial"/>
          <w:color w:val="000000"/>
          <w:sz w:val="20"/>
          <w:szCs w:val="20"/>
        </w:rPr>
        <w:br/>
        <w:t>CO.DPSS.POLC.No.S-590/02-14-006/2022-23</w:t>
      </w:r>
    </w:p>
    <w:p w:rsidR="006458AB" w:rsidRDefault="006458AB" w:rsidP="006458AB">
      <w:pPr>
        <w:pStyle w:val="NormalWeb"/>
        <w:jc w:val="right"/>
        <w:rPr>
          <w:rFonts w:ascii="Arial" w:hAnsi="Arial" w:cs="Arial"/>
          <w:color w:val="000000"/>
          <w:sz w:val="20"/>
          <w:szCs w:val="20"/>
        </w:rPr>
      </w:pPr>
      <w:r>
        <w:rPr>
          <w:rFonts w:ascii="Arial" w:hAnsi="Arial" w:cs="Arial"/>
          <w:color w:val="000000"/>
          <w:sz w:val="20"/>
          <w:szCs w:val="20"/>
        </w:rPr>
        <w:t>July 04, 2022</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 and Non-bank Payment System Operators (PSOs)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Madam / Dear Sir,</w:t>
      </w:r>
    </w:p>
    <w:p w:rsidR="006458AB" w:rsidRDefault="006458AB" w:rsidP="006458AB">
      <w:pPr>
        <w:pStyle w:val="head"/>
        <w:rPr>
          <w:rFonts w:ascii="Arial" w:hAnsi="Arial" w:cs="Arial"/>
          <w:b/>
          <w:bCs/>
          <w:color w:val="000000"/>
          <w:sz w:val="20"/>
          <w:szCs w:val="20"/>
        </w:rPr>
      </w:pPr>
      <w:r>
        <w:rPr>
          <w:rFonts w:ascii="Arial" w:hAnsi="Arial" w:cs="Arial"/>
          <w:b/>
          <w:bCs/>
          <w:color w:val="000000"/>
          <w:sz w:val="20"/>
          <w:szCs w:val="20"/>
        </w:rPr>
        <w:t>Requirement for obtaining prior approval in case of takeover / acquisition of control of non-bank PSOs and sale / transfer of payment system activity of non-bank PSO</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A reference is invited to Reserve Bank of India (RBI) instructions contained in paragraph 5.10 of </w:t>
      </w:r>
      <w:hyperlink r:id="rId8" w:tgtFrame="_blank" w:history="1">
        <w:r>
          <w:rPr>
            <w:rStyle w:val="Hyperlink"/>
            <w:rFonts w:ascii="Arial" w:hAnsi="Arial" w:cs="Arial"/>
            <w:sz w:val="20"/>
            <w:szCs w:val="20"/>
          </w:rPr>
          <w:t>Master Directions on Prepaid Payment Instruments dated August 27, 2021</w:t>
        </w:r>
      </w:hyperlink>
      <w:r>
        <w:rPr>
          <w:rFonts w:ascii="Arial" w:hAnsi="Arial" w:cs="Arial"/>
          <w:color w:val="000000"/>
          <w:sz w:val="20"/>
          <w:szCs w:val="20"/>
        </w:rPr>
        <w:t>, paragraph 5.2 of </w:t>
      </w:r>
      <w:hyperlink r:id="rId9" w:tgtFrame="_blank" w:history="1">
        <w:r>
          <w:rPr>
            <w:rStyle w:val="Hyperlink"/>
            <w:rFonts w:ascii="Arial" w:hAnsi="Arial" w:cs="Arial"/>
            <w:sz w:val="20"/>
            <w:szCs w:val="20"/>
          </w:rPr>
          <w:t>Guidelines on Regulation of Payment Aggregators and Payment Gateways dated March 17, 2020</w:t>
        </w:r>
      </w:hyperlink>
      <w:r>
        <w:rPr>
          <w:rFonts w:ascii="Arial" w:hAnsi="Arial" w:cs="Arial"/>
          <w:color w:val="000000"/>
          <w:sz w:val="20"/>
          <w:szCs w:val="20"/>
        </w:rPr>
        <w:t> and paragraph 3.1 of Annex-A to </w:t>
      </w:r>
      <w:hyperlink r:id="rId10" w:tgtFrame="_blank" w:history="1">
        <w:r>
          <w:rPr>
            <w:rStyle w:val="Hyperlink"/>
            <w:rFonts w:ascii="Arial" w:hAnsi="Arial" w:cs="Arial"/>
            <w:sz w:val="20"/>
            <w:szCs w:val="20"/>
          </w:rPr>
          <w:t>White Label ATM Guidelines dated June 20, 2012</w:t>
        </w:r>
      </w:hyperlink>
      <w:r>
        <w:rPr>
          <w:rFonts w:ascii="Arial" w:hAnsi="Arial" w:cs="Arial"/>
          <w:color w:val="000000"/>
          <w:sz w:val="20"/>
          <w:szCs w:val="20"/>
        </w:rPr>
        <w:t>.</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2. The operations of non-bank PSOs (authorised to operate any Payment System) have been reviewed and they shall require prior approval of RBI in the following cases –</w:t>
      </w:r>
    </w:p>
    <w:p w:rsidR="006458AB" w:rsidRDefault="006458AB" w:rsidP="00DA1141">
      <w:pPr>
        <w:pStyle w:val="NormalWeb"/>
        <w:numPr>
          <w:ilvl w:val="0"/>
          <w:numId w:val="1"/>
        </w:numPr>
        <w:ind w:left="0"/>
        <w:rPr>
          <w:rFonts w:ascii="Arial" w:hAnsi="Arial" w:cs="Arial"/>
          <w:color w:val="000000"/>
          <w:sz w:val="20"/>
          <w:szCs w:val="20"/>
        </w:rPr>
      </w:pPr>
      <w:r>
        <w:rPr>
          <w:rFonts w:ascii="Arial" w:hAnsi="Arial" w:cs="Arial"/>
          <w:color w:val="000000"/>
          <w:sz w:val="20"/>
          <w:szCs w:val="20"/>
        </w:rPr>
        <w:t>Takeover / Acquisition of control, which may / may not result in change of management.</w:t>
      </w:r>
    </w:p>
    <w:p w:rsidR="006458AB" w:rsidRDefault="006458AB" w:rsidP="00DA1141">
      <w:pPr>
        <w:pStyle w:val="NormalWeb"/>
        <w:numPr>
          <w:ilvl w:val="0"/>
          <w:numId w:val="1"/>
        </w:numPr>
        <w:ind w:left="0"/>
        <w:rPr>
          <w:rFonts w:ascii="Arial" w:hAnsi="Arial" w:cs="Arial"/>
          <w:color w:val="000000"/>
          <w:sz w:val="20"/>
          <w:szCs w:val="20"/>
        </w:rPr>
      </w:pPr>
      <w:r>
        <w:rPr>
          <w:rFonts w:ascii="Arial" w:hAnsi="Arial" w:cs="Arial"/>
          <w:color w:val="000000"/>
          <w:sz w:val="20"/>
          <w:szCs w:val="20"/>
        </w:rPr>
        <w:t>Sale / Transfer of payment activity to an entity not authorised for undertaking similar activity.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3. The non-bank PSOs shall inform RBI within 15 calendar days in the following cases –</w:t>
      </w:r>
    </w:p>
    <w:p w:rsidR="006458AB" w:rsidRDefault="006458AB" w:rsidP="00DA1141">
      <w:pPr>
        <w:pStyle w:val="NormalWeb"/>
        <w:numPr>
          <w:ilvl w:val="0"/>
          <w:numId w:val="2"/>
        </w:numPr>
        <w:ind w:left="0"/>
        <w:rPr>
          <w:rFonts w:ascii="Arial" w:hAnsi="Arial" w:cs="Arial"/>
          <w:color w:val="000000"/>
          <w:sz w:val="20"/>
          <w:szCs w:val="20"/>
        </w:rPr>
      </w:pPr>
      <w:r>
        <w:rPr>
          <w:rFonts w:ascii="Arial" w:hAnsi="Arial" w:cs="Arial"/>
          <w:color w:val="000000"/>
          <w:sz w:val="20"/>
          <w:szCs w:val="20"/>
        </w:rPr>
        <w:t>Change in management / directors.</w:t>
      </w:r>
    </w:p>
    <w:p w:rsidR="006458AB" w:rsidRDefault="006458AB" w:rsidP="00DA1141">
      <w:pPr>
        <w:pStyle w:val="NormalWeb"/>
        <w:numPr>
          <w:ilvl w:val="0"/>
          <w:numId w:val="2"/>
        </w:numPr>
        <w:ind w:left="0"/>
        <w:rPr>
          <w:rFonts w:ascii="Arial" w:hAnsi="Arial" w:cs="Arial"/>
          <w:color w:val="000000"/>
          <w:sz w:val="20"/>
          <w:szCs w:val="20"/>
        </w:rPr>
      </w:pPr>
      <w:r>
        <w:rPr>
          <w:rFonts w:ascii="Arial" w:hAnsi="Arial" w:cs="Arial"/>
          <w:color w:val="000000"/>
          <w:sz w:val="20"/>
          <w:szCs w:val="20"/>
        </w:rPr>
        <w:t>Sale / Transfer of payment activity to an entity authorised for undertaking similar activity.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4. Details of the requirements are given in </w:t>
      </w:r>
      <w:hyperlink r:id="rId11" w:anchor="AN1" w:history="1">
        <w:r>
          <w:rPr>
            <w:rStyle w:val="Hyperlink"/>
            <w:rFonts w:ascii="Arial" w:hAnsi="Arial" w:cs="Arial"/>
            <w:sz w:val="20"/>
            <w:szCs w:val="20"/>
          </w:rPr>
          <w:t>Annex-1</w:t>
        </w:r>
      </w:hyperlink>
      <w:r>
        <w:rPr>
          <w:rFonts w:ascii="Arial" w:hAnsi="Arial" w:cs="Arial"/>
          <w:color w:val="000000"/>
          <w:sz w:val="20"/>
          <w:szCs w:val="20"/>
        </w:rPr>
        <w:t>.</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5. This directive is issued under Section 10 (2) read with Section 18 of Payment and Settlement Systems Act, 2007 (Act 51 of 2007) and shall come into effect immediately.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Yours faithfully,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6458AB" w:rsidRDefault="006458AB" w:rsidP="006458AB">
      <w:pPr>
        <w:pStyle w:val="NormalWeb"/>
        <w:rPr>
          <w:rFonts w:ascii="Arial" w:hAnsi="Arial" w:cs="Arial"/>
          <w:color w:val="000000"/>
          <w:sz w:val="20"/>
          <w:szCs w:val="20"/>
        </w:rPr>
      </w:pPr>
    </w:p>
    <w:p w:rsidR="006458AB" w:rsidRDefault="006458AB" w:rsidP="006458AB">
      <w:pPr>
        <w:pStyle w:val="NormalWeb"/>
        <w:rPr>
          <w:rFonts w:ascii="Arial" w:hAnsi="Arial" w:cs="Arial"/>
          <w:color w:val="000000"/>
          <w:sz w:val="20"/>
          <w:szCs w:val="20"/>
        </w:rPr>
      </w:pPr>
    </w:p>
    <w:p w:rsidR="006458AB" w:rsidRDefault="006458AB" w:rsidP="006458AB">
      <w:pPr>
        <w:pStyle w:val="NormalWeb"/>
        <w:rPr>
          <w:rFonts w:ascii="Arial" w:hAnsi="Arial" w:cs="Arial"/>
          <w:color w:val="000000"/>
          <w:sz w:val="20"/>
          <w:szCs w:val="20"/>
        </w:rPr>
      </w:pPr>
    </w:p>
    <w:p w:rsidR="006458AB" w:rsidRDefault="006458AB" w:rsidP="006458AB">
      <w:r>
        <w:t>More details can be referred to in the below link.</w:t>
      </w:r>
    </w:p>
    <w:p w:rsidR="006458AB" w:rsidRDefault="006458AB" w:rsidP="006458AB">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 w:history="1">
        <w:r w:rsidRPr="006865D6">
          <w:rPr>
            <w:rStyle w:val="Hyperlink"/>
            <w:rFonts w:ascii="Arial" w:hAnsi="Arial" w:cs="Arial"/>
            <w:bCs/>
            <w:sz w:val="20"/>
            <w:szCs w:val="20"/>
          </w:rPr>
          <w:t>https://www.rbi.org.in/Scripts/NotificationUser.aspx?Id=12348&amp;Mode=0</w:t>
        </w:r>
      </w:hyperlink>
    </w:p>
    <w:p w:rsidR="006458AB" w:rsidRDefault="006458AB" w:rsidP="006458AB">
      <w:pPr>
        <w:pStyle w:val="NormalWeb"/>
        <w:rPr>
          <w:rFonts w:ascii="Arial" w:hAnsi="Arial" w:cs="Arial"/>
          <w:color w:val="000000"/>
          <w:sz w:val="20"/>
          <w:szCs w:val="20"/>
        </w:rPr>
      </w:pPr>
    </w:p>
    <w:p w:rsidR="00E653FA" w:rsidRDefault="00E653FA" w:rsidP="008C7A02">
      <w:pPr>
        <w:jc w:val="both"/>
        <w:rPr>
          <w:rFonts w:ascii="Arial" w:hAnsi="Arial" w:cs="Arial"/>
          <w:b/>
          <w:bCs/>
          <w:color w:val="000000"/>
          <w:sz w:val="20"/>
          <w:szCs w:val="20"/>
        </w:rPr>
      </w:pPr>
    </w:p>
    <w:p w:rsidR="006458AB" w:rsidRDefault="006458AB" w:rsidP="006458AB">
      <w:pPr>
        <w:rPr>
          <w:rFonts w:ascii="Arial" w:hAnsi="Arial" w:cs="Arial"/>
          <w:b/>
          <w:bCs/>
          <w:color w:val="000000"/>
          <w:sz w:val="20"/>
          <w:szCs w:val="20"/>
        </w:rPr>
      </w:pPr>
      <w:r>
        <w:rPr>
          <w:rFonts w:ascii="Arial" w:hAnsi="Arial" w:cs="Arial"/>
          <w:b/>
          <w:bCs/>
          <w:color w:val="000000"/>
          <w:sz w:val="20"/>
          <w:szCs w:val="20"/>
        </w:rPr>
        <w:lastRenderedPageBreak/>
        <w:t>Master Direction on Interest Rate on Deposits - Foreign Currency (Non-resident) Accounts (Banks) Scheme [FCNR(B)] and Non-Resident (External) Rupee (NRE) Deposit</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RBI/2022-23/82</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53/13.03.000/2022-23</w:t>
      </w:r>
    </w:p>
    <w:p w:rsidR="006458AB" w:rsidRDefault="006458AB" w:rsidP="006458AB">
      <w:pPr>
        <w:pStyle w:val="NormalWeb"/>
        <w:jc w:val="right"/>
        <w:rPr>
          <w:rFonts w:ascii="Arial" w:hAnsi="Arial" w:cs="Arial"/>
          <w:color w:val="000000"/>
          <w:sz w:val="20"/>
          <w:szCs w:val="20"/>
        </w:rPr>
      </w:pPr>
      <w:r>
        <w:rPr>
          <w:rFonts w:ascii="Arial" w:hAnsi="Arial" w:cs="Arial"/>
          <w:color w:val="000000"/>
          <w:sz w:val="20"/>
          <w:szCs w:val="20"/>
        </w:rPr>
        <w:t>July 06, 2022</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Local Area Banks</w:t>
      </w:r>
      <w:r>
        <w:rPr>
          <w:rFonts w:ascii="Arial" w:hAnsi="Arial" w:cs="Arial"/>
          <w:color w:val="000000"/>
          <w:sz w:val="20"/>
          <w:szCs w:val="20"/>
        </w:rPr>
        <w:br/>
        <w:t>All Payment Banks</w:t>
      </w:r>
      <w:r>
        <w:rPr>
          <w:rFonts w:ascii="Arial" w:hAnsi="Arial" w:cs="Arial"/>
          <w:color w:val="000000"/>
          <w:sz w:val="20"/>
          <w:szCs w:val="20"/>
        </w:rPr>
        <w:br/>
        <w:t>All Primary (Urban) Co-operative Banks/ DCCBs /State Cooperative Banks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Dear Sir / Madam,</w:t>
      </w:r>
    </w:p>
    <w:p w:rsidR="006458AB" w:rsidRDefault="006458AB" w:rsidP="006458AB">
      <w:pPr>
        <w:pStyle w:val="head"/>
        <w:rPr>
          <w:rFonts w:ascii="Arial" w:hAnsi="Arial" w:cs="Arial"/>
          <w:b/>
          <w:bCs/>
          <w:color w:val="000000"/>
          <w:sz w:val="20"/>
          <w:szCs w:val="20"/>
        </w:rPr>
      </w:pPr>
      <w:r>
        <w:rPr>
          <w:rFonts w:ascii="Arial" w:hAnsi="Arial" w:cs="Arial"/>
          <w:b/>
          <w:bCs/>
          <w:color w:val="000000"/>
          <w:sz w:val="20"/>
          <w:szCs w:val="20"/>
        </w:rPr>
        <w:t>Master Direction on Interest Rate on Deposits - Foreign Currency (Non-resident) Accounts (Banks) Scheme [FCNR(B)] and Non-Resident (External) Rupee (NRE) Deposit</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Please refer to the instructions regarding interest rates on FCNR (B) deposits contained in Section 19 of the </w:t>
      </w:r>
      <w:hyperlink r:id="rId13"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Section 18 of the </w:t>
      </w:r>
      <w:hyperlink r:id="rId14" w:tgtFrame="_blank" w:history="1">
        <w:r>
          <w:rPr>
            <w:rStyle w:val="Hyperlink"/>
            <w:rFonts w:ascii="Arial" w:hAnsi="Arial" w:cs="Arial"/>
            <w:sz w:val="20"/>
            <w:szCs w:val="20"/>
          </w:rPr>
          <w:t>Master Direction (MD) on Interest Rate on Deposits dated May 12, 2016</w:t>
        </w:r>
      </w:hyperlink>
      <w:r>
        <w:rPr>
          <w:rFonts w:ascii="Arial" w:hAnsi="Arial" w:cs="Arial"/>
          <w:color w:val="000000"/>
          <w:sz w:val="20"/>
          <w:szCs w:val="20"/>
        </w:rPr>
        <w:t>. In this connection, banks are advised that with effect from July 07, 2022, the interest rate ceiling applicable to FCNR (B) deposits is being temporarily withdrawn for incremental FCNR (B) deposits mobilized by banks for the period until October 31, 2022.</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2. Further, in terms of Section 15 (d) and Section 14 (d) of the above-mentioned MDs respectively, interest rates on NRE deposits shall not be higher than those offered by the banks on comparable domestic rupee term deposits. In this regard, the said restriction with respect to interest rates offered on incremental NRE deposits mobilized by banks shall be temporarily withdrawn with effect from July 07, 2022, for the period until October 31, 2022. The above relaxation shall not be applicable to Ordinary Non-Resident (NRO) Deposits.</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3. These concessions will be subject to review.</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4. All other instructions in this regard shall remain unchanged.</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Yours faithfully,</w:t>
      </w:r>
    </w:p>
    <w:p w:rsidR="006458AB" w:rsidRDefault="006458AB" w:rsidP="006458A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r>
        <w:t>More details can be referred to in the below link.</w:t>
      </w:r>
    </w:p>
    <w:p w:rsidR="006458AB" w:rsidRDefault="006458AB" w:rsidP="006458AB">
      <w:pPr>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6865D6">
          <w:rPr>
            <w:rStyle w:val="Hyperlink"/>
            <w:rFonts w:ascii="Arial" w:hAnsi="Arial" w:cs="Arial"/>
            <w:bCs/>
            <w:sz w:val="20"/>
            <w:szCs w:val="20"/>
          </w:rPr>
          <w:t>https://rbi.org.in/Scripts/NotificationUser.aspx?Id=12350&amp;Mode=0</w:t>
        </w:r>
      </w:hyperlink>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6458AB">
      <w:pPr>
        <w:rPr>
          <w:rFonts w:ascii="Arial" w:hAnsi="Arial" w:cs="Arial"/>
          <w:b/>
          <w:bCs/>
          <w:color w:val="000000"/>
          <w:sz w:val="20"/>
          <w:szCs w:val="20"/>
        </w:rPr>
      </w:pPr>
      <w:r>
        <w:rPr>
          <w:rFonts w:ascii="Arial" w:hAnsi="Arial" w:cs="Arial"/>
          <w:b/>
          <w:bCs/>
          <w:color w:val="000000"/>
          <w:sz w:val="20"/>
          <w:szCs w:val="20"/>
        </w:rPr>
        <w:lastRenderedPageBreak/>
        <w:t>Section 42 of the Reserve Bank of India Act, 1934 and Section 18 and 24 of the Banking Regulation Act, 1949 – FCNR (B)/NRE Term deposits - Exemption from maintenance of CRR/SLR</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RBI/2022-23/83</w:t>
      </w:r>
      <w:r w:rsidRPr="0001134A">
        <w:rPr>
          <w:rFonts w:ascii="Arial" w:eastAsia="Times New Roman" w:hAnsi="Arial" w:cs="Arial"/>
          <w:color w:val="000000"/>
          <w:sz w:val="20"/>
          <w:szCs w:val="20"/>
          <w:lang w:eastAsia="en-IN"/>
        </w:rPr>
        <w:br/>
        <w:t>DOR.RET.REC.54/12.01.001/2022-23</w:t>
      </w:r>
    </w:p>
    <w:p w:rsidR="006458AB" w:rsidRPr="0001134A" w:rsidRDefault="006458AB" w:rsidP="006458AB">
      <w:pPr>
        <w:spacing w:before="100" w:beforeAutospacing="1" w:after="100" w:afterAutospacing="1" w:line="240" w:lineRule="auto"/>
        <w:jc w:val="right"/>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July 06, 2022</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All Scheduled Commercial Banks (including Regional Rural Banks)</w:t>
      </w:r>
      <w:r w:rsidRPr="0001134A">
        <w:rPr>
          <w:rFonts w:ascii="Arial" w:eastAsia="Times New Roman" w:hAnsi="Arial" w:cs="Arial"/>
          <w:color w:val="000000"/>
          <w:sz w:val="20"/>
          <w:szCs w:val="20"/>
          <w:lang w:eastAsia="en-IN"/>
        </w:rPr>
        <w:br/>
        <w:t>Local Area Banks, Small Finance Banks, Payments Banks</w:t>
      </w:r>
      <w:r w:rsidRPr="0001134A">
        <w:rPr>
          <w:rFonts w:ascii="Arial" w:eastAsia="Times New Roman" w:hAnsi="Arial" w:cs="Arial"/>
          <w:color w:val="000000"/>
          <w:sz w:val="20"/>
          <w:szCs w:val="20"/>
          <w:lang w:eastAsia="en-IN"/>
        </w:rPr>
        <w:br/>
        <w:t>Primary (Urban) Co-operative Banks (UCBs)</w:t>
      </w:r>
      <w:r w:rsidRPr="0001134A">
        <w:rPr>
          <w:rFonts w:ascii="Arial" w:eastAsia="Times New Roman" w:hAnsi="Arial" w:cs="Arial"/>
          <w:color w:val="000000"/>
          <w:sz w:val="20"/>
          <w:szCs w:val="20"/>
          <w:lang w:eastAsia="en-IN"/>
        </w:rPr>
        <w:br/>
        <w:t>State and Central Co-operative Banks (</w:t>
      </w:r>
      <w:proofErr w:type="spellStart"/>
      <w:r w:rsidRPr="0001134A">
        <w:rPr>
          <w:rFonts w:ascii="Arial" w:eastAsia="Times New Roman" w:hAnsi="Arial" w:cs="Arial"/>
          <w:color w:val="000000"/>
          <w:sz w:val="20"/>
          <w:szCs w:val="20"/>
          <w:lang w:eastAsia="en-IN"/>
        </w:rPr>
        <w:t>StCBs</w:t>
      </w:r>
      <w:proofErr w:type="spellEnd"/>
      <w:r w:rsidRPr="0001134A">
        <w:rPr>
          <w:rFonts w:ascii="Arial" w:eastAsia="Times New Roman" w:hAnsi="Arial" w:cs="Arial"/>
          <w:color w:val="000000"/>
          <w:sz w:val="20"/>
          <w:szCs w:val="20"/>
          <w:lang w:eastAsia="en-IN"/>
        </w:rPr>
        <w:t xml:space="preserve"> / CCBs)</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Madam/Dear Sir,</w:t>
      </w:r>
    </w:p>
    <w:p w:rsidR="006458AB" w:rsidRPr="0001134A" w:rsidRDefault="006458AB" w:rsidP="006458AB">
      <w:pPr>
        <w:spacing w:before="100" w:beforeAutospacing="1" w:after="100" w:afterAutospacing="1" w:line="240" w:lineRule="auto"/>
        <w:rPr>
          <w:rFonts w:ascii="Arial" w:eastAsia="Times New Roman" w:hAnsi="Arial" w:cs="Arial"/>
          <w:b/>
          <w:bCs/>
          <w:color w:val="000000"/>
          <w:sz w:val="20"/>
          <w:szCs w:val="20"/>
          <w:lang w:eastAsia="en-IN"/>
        </w:rPr>
      </w:pPr>
      <w:r w:rsidRPr="0001134A">
        <w:rPr>
          <w:rFonts w:ascii="Arial" w:eastAsia="Times New Roman" w:hAnsi="Arial" w:cs="Arial"/>
          <w:b/>
          <w:bCs/>
          <w:color w:val="000000"/>
          <w:sz w:val="20"/>
          <w:szCs w:val="20"/>
          <w:lang w:eastAsia="en-IN"/>
        </w:rPr>
        <w:t>Section 42 of the Reserve Bank of India Act, 1934 and Section 18 and 24 of the Banking Regulation Act, 1949 – FCNR (B)/NRE Term deposits - Exemption from maintenance of CRR/SLR</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At present, banks are required to include all Foreign Currency Non-Resident (Bank) [FCNR (B)] and Non-Resident (External) Rupee (NRE) deposit liabilities for computation of Net Demand and Time Liabilities (NDTL) for maintenance of CRR and SLR.</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2. Banks are advised that with effect from the reporting fortnight beginning July 30, 2022, incremental FCNR (B) deposits as also NRE Term deposits with reference to base date of July 1, 2022, mobilised by banks will be exempt from maintenance of CRR and SLR. To amplify, if a bank had total FCNR (B) deposit of say USD 100 as on the base date, and mobilises an incremental deposit of say USD 20, that portion of USD 20 will not be part of liabilities reckoned for the purpose of NDTL computation for CRR and SLR maintenance with effect from the fortnight beginning July 30, 2022. The same principle will apply for calculation of NRE Term deposits for exemption from maintenance of CRR/SLR requirements. However, any transfer from Non-Resident (Ordinary) (NRO) accounts to NRE accounts will not qualify for such exemptions.</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3. The above exemptions are valid for deposits raised till November 04, 2022. The exemption on reserves maintenance will be available for the original deposit amounts till such time the deposits are held in the bank books.</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Yours faithfully</w:t>
      </w:r>
    </w:p>
    <w:p w:rsidR="006458AB" w:rsidRPr="0001134A" w:rsidRDefault="006458AB" w:rsidP="006458AB">
      <w:pPr>
        <w:spacing w:before="100" w:beforeAutospacing="1" w:after="100" w:afterAutospacing="1" w:line="240" w:lineRule="auto"/>
        <w:rPr>
          <w:rFonts w:ascii="Arial" w:eastAsia="Times New Roman" w:hAnsi="Arial" w:cs="Arial"/>
          <w:color w:val="000000"/>
          <w:sz w:val="20"/>
          <w:szCs w:val="20"/>
          <w:lang w:eastAsia="en-IN"/>
        </w:rPr>
      </w:pPr>
      <w:r w:rsidRPr="0001134A">
        <w:rPr>
          <w:rFonts w:ascii="Arial" w:eastAsia="Times New Roman" w:hAnsi="Arial" w:cs="Arial"/>
          <w:color w:val="000000"/>
          <w:sz w:val="20"/>
          <w:szCs w:val="20"/>
          <w:lang w:eastAsia="en-IN"/>
        </w:rPr>
        <w:t xml:space="preserve">(Prakash </w:t>
      </w:r>
      <w:proofErr w:type="spellStart"/>
      <w:r w:rsidRPr="0001134A">
        <w:rPr>
          <w:rFonts w:ascii="Arial" w:eastAsia="Times New Roman" w:hAnsi="Arial" w:cs="Arial"/>
          <w:color w:val="000000"/>
          <w:sz w:val="20"/>
          <w:szCs w:val="20"/>
          <w:lang w:eastAsia="en-IN"/>
        </w:rPr>
        <w:t>Baliarsingh</w:t>
      </w:r>
      <w:proofErr w:type="spellEnd"/>
      <w:r w:rsidRPr="0001134A">
        <w:rPr>
          <w:rFonts w:ascii="Arial" w:eastAsia="Times New Roman" w:hAnsi="Arial" w:cs="Arial"/>
          <w:color w:val="000000"/>
          <w:sz w:val="20"/>
          <w:szCs w:val="20"/>
          <w:lang w:eastAsia="en-IN"/>
        </w:rPr>
        <w:t>)</w:t>
      </w:r>
      <w:r w:rsidRPr="0001134A">
        <w:rPr>
          <w:rFonts w:ascii="Arial" w:eastAsia="Times New Roman" w:hAnsi="Arial" w:cs="Arial"/>
          <w:color w:val="000000"/>
          <w:sz w:val="20"/>
          <w:szCs w:val="20"/>
          <w:lang w:eastAsia="en-IN"/>
        </w:rPr>
        <w:br/>
        <w:t>Chief General Manager</w:t>
      </w: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pPr>
        <w:rPr>
          <w:rFonts w:ascii="Arial" w:hAnsi="Arial" w:cs="Arial"/>
          <w:sz w:val="20"/>
          <w:szCs w:val="20"/>
        </w:rPr>
      </w:pPr>
    </w:p>
    <w:p w:rsidR="006458AB" w:rsidRDefault="006458AB" w:rsidP="006458AB">
      <w:r>
        <w:t>More details can be referred to in the below link.</w:t>
      </w:r>
    </w:p>
    <w:p w:rsidR="006458AB" w:rsidRDefault="006458AB" w:rsidP="006458AB">
      <w:pPr>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6865D6">
          <w:rPr>
            <w:rStyle w:val="Hyperlink"/>
            <w:rFonts w:ascii="Arial" w:hAnsi="Arial" w:cs="Arial"/>
            <w:bCs/>
            <w:sz w:val="20"/>
            <w:szCs w:val="20"/>
          </w:rPr>
          <w:t>https://www.rbi.org.in/scripts/NotificationUser.aspx?Id=12351&amp;Mode=0</w:t>
        </w:r>
      </w:hyperlink>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8C7A02">
      <w:pPr>
        <w:jc w:val="both"/>
        <w:rPr>
          <w:rFonts w:ascii="Arial" w:hAnsi="Arial" w:cs="Arial"/>
          <w:b/>
          <w:bCs/>
          <w:color w:val="000000"/>
          <w:sz w:val="20"/>
          <w:szCs w:val="20"/>
        </w:rPr>
      </w:pPr>
    </w:p>
    <w:p w:rsidR="006458AB" w:rsidRDefault="006458AB" w:rsidP="006458AB">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6458AB" w:rsidRDefault="006458AB" w:rsidP="006458AB">
      <w:pPr>
        <w:pStyle w:val="NormalWeb"/>
        <w:jc w:val="right"/>
        <w:rPr>
          <w:rFonts w:ascii="Arial" w:hAnsi="Arial" w:cs="Arial"/>
          <w:color w:val="000000"/>
          <w:sz w:val="20"/>
          <w:szCs w:val="20"/>
        </w:rPr>
      </w:pPr>
      <w:r>
        <w:rPr>
          <w:rFonts w:ascii="Arial" w:hAnsi="Arial" w:cs="Arial"/>
          <w:color w:val="000000"/>
          <w:sz w:val="20"/>
          <w:szCs w:val="20"/>
        </w:rPr>
        <w:t>July 07, 2022</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Madam/Sir,</w:t>
      </w:r>
    </w:p>
    <w:p w:rsidR="006458AB" w:rsidRDefault="006458AB" w:rsidP="006458AB">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17"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6458AB" w:rsidRDefault="006458AB" w:rsidP="00DA114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18"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6458AB" w:rsidRDefault="006458AB" w:rsidP="00DA1141">
      <w:pPr>
        <w:pStyle w:val="NormalWeb"/>
        <w:numPr>
          <w:ilvl w:val="0"/>
          <w:numId w:val="3"/>
        </w:numPr>
        <w:ind w:left="0"/>
        <w:jc w:val="both"/>
        <w:rPr>
          <w:rFonts w:ascii="Arial" w:hAnsi="Arial" w:cs="Arial"/>
          <w:color w:val="000000"/>
          <w:sz w:val="20"/>
          <w:szCs w:val="20"/>
        </w:rPr>
      </w:pPr>
      <w:r>
        <w:rPr>
          <w:rFonts w:ascii="Arial" w:hAnsi="Arial" w:cs="Arial"/>
          <w:color w:val="000000"/>
          <w:sz w:val="20"/>
          <w:szCs w:val="20"/>
        </w:rPr>
        <w:t>the </w:t>
      </w:r>
      <w:hyperlink r:id="rId19"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2. In terms of paragraphs 4(b)(i)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 xml:space="preserve">4.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may bring the contents of this circular to the notice of their constituents and customers concerned.</w:t>
      </w:r>
    </w:p>
    <w:p w:rsidR="006458AB" w:rsidRDefault="006458AB" w:rsidP="006458AB">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6458AB" w:rsidRPr="002C55B6" w:rsidRDefault="006458AB" w:rsidP="006458AB">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6458AB" w:rsidRPr="00FB49BF" w:rsidRDefault="006458AB" w:rsidP="006458AB">
      <w:pPr>
        <w:spacing w:after="0"/>
        <w:rPr>
          <w:rFonts w:ascii="Arial" w:hAnsi="Arial" w:cs="Arial"/>
          <w:sz w:val="20"/>
          <w:szCs w:val="20"/>
        </w:rPr>
      </w:pPr>
      <w:r w:rsidRPr="00FB49BF">
        <w:rPr>
          <w:rFonts w:ascii="Arial" w:hAnsi="Arial" w:cs="Arial"/>
          <w:sz w:val="20"/>
          <w:szCs w:val="20"/>
        </w:rPr>
        <w:t>Yours faithfully,</w:t>
      </w:r>
    </w:p>
    <w:p w:rsidR="006458AB" w:rsidRPr="00FB49BF" w:rsidRDefault="006458AB" w:rsidP="006458AB">
      <w:pPr>
        <w:spacing w:after="0"/>
        <w:rPr>
          <w:rFonts w:ascii="Arial" w:hAnsi="Arial" w:cs="Arial"/>
          <w:sz w:val="20"/>
          <w:szCs w:val="20"/>
        </w:rPr>
      </w:pPr>
      <w:r w:rsidRPr="00FB49BF">
        <w:rPr>
          <w:rFonts w:ascii="Arial" w:hAnsi="Arial" w:cs="Arial"/>
          <w:sz w:val="20"/>
          <w:szCs w:val="20"/>
        </w:rPr>
        <w:t xml:space="preserve">(Dimple </w:t>
      </w:r>
      <w:proofErr w:type="spellStart"/>
      <w:r w:rsidRPr="00FB49BF">
        <w:rPr>
          <w:rFonts w:ascii="Arial" w:hAnsi="Arial" w:cs="Arial"/>
          <w:sz w:val="20"/>
          <w:szCs w:val="20"/>
        </w:rPr>
        <w:t>Bhandia</w:t>
      </w:r>
      <w:proofErr w:type="spellEnd"/>
      <w:r w:rsidRPr="00FB49BF">
        <w:rPr>
          <w:rFonts w:ascii="Arial" w:hAnsi="Arial" w:cs="Arial"/>
          <w:sz w:val="20"/>
          <w:szCs w:val="20"/>
        </w:rPr>
        <w:t>)</w:t>
      </w:r>
    </w:p>
    <w:p w:rsidR="006458AB" w:rsidRPr="00FB49BF" w:rsidRDefault="006458AB" w:rsidP="006458AB">
      <w:pPr>
        <w:spacing w:after="0"/>
        <w:rPr>
          <w:rFonts w:ascii="Arial" w:hAnsi="Arial" w:cs="Arial"/>
          <w:sz w:val="20"/>
          <w:szCs w:val="20"/>
        </w:rPr>
      </w:pPr>
      <w:r w:rsidRPr="00FB49BF">
        <w:rPr>
          <w:rFonts w:ascii="Arial" w:hAnsi="Arial" w:cs="Arial"/>
          <w:sz w:val="20"/>
          <w:szCs w:val="20"/>
        </w:rPr>
        <w:t>Chief General Manager</w:t>
      </w:r>
    </w:p>
    <w:p w:rsidR="006458AB" w:rsidRDefault="006458AB" w:rsidP="006458AB"/>
    <w:p w:rsidR="006458AB" w:rsidRDefault="006458AB" w:rsidP="006458AB">
      <w:r>
        <w:t>More details can be referred to in the below link.</w:t>
      </w:r>
    </w:p>
    <w:p w:rsidR="006458AB" w:rsidRDefault="006458AB" w:rsidP="006458AB">
      <w:pPr>
        <w:jc w:val="both"/>
        <w:rPr>
          <w:rStyle w:val="Hyperlink"/>
          <w:rFonts w:ascii="Arial" w:hAnsi="Arial" w:cs="Arial"/>
          <w:bCs/>
          <w:sz w:val="20"/>
          <w:szCs w:val="20"/>
        </w:rPr>
      </w:pPr>
      <w:r>
        <w:rPr>
          <w:rFonts w:ascii="Arial" w:hAnsi="Arial" w:cs="Arial"/>
          <w:bCs/>
          <w:color w:val="000000"/>
          <w:sz w:val="20"/>
          <w:szCs w:val="20"/>
        </w:rPr>
        <w:t xml:space="preserve">Reference Link </w:t>
      </w:r>
      <w:hyperlink r:id="rId20" w:history="1">
        <w:r w:rsidRPr="00200311">
          <w:rPr>
            <w:rStyle w:val="Hyperlink"/>
            <w:rFonts w:ascii="Arial" w:hAnsi="Arial" w:cs="Arial"/>
            <w:bCs/>
            <w:sz w:val="20"/>
            <w:szCs w:val="20"/>
          </w:rPr>
          <w:t>https://rbi.org.in/scripts/FS_Notification.aspx?Id=12355&amp;fn=6&amp;Mode=0</w:t>
        </w:r>
      </w:hyperlink>
    </w:p>
    <w:p w:rsidR="006458AB" w:rsidRDefault="006458AB" w:rsidP="006458AB">
      <w:pPr>
        <w:jc w:val="both"/>
        <w:rPr>
          <w:rStyle w:val="Hyperlink"/>
          <w:rFonts w:ascii="Arial" w:hAnsi="Arial" w:cs="Arial"/>
          <w:bCs/>
          <w:sz w:val="20"/>
          <w:szCs w:val="20"/>
        </w:rPr>
      </w:pPr>
    </w:p>
    <w:p w:rsidR="006458AB" w:rsidRDefault="006458AB" w:rsidP="006458AB">
      <w:pPr>
        <w:jc w:val="both"/>
        <w:rPr>
          <w:rStyle w:val="Hyperlink"/>
          <w:rFonts w:ascii="Arial" w:hAnsi="Arial" w:cs="Arial"/>
          <w:bCs/>
          <w:sz w:val="20"/>
          <w:szCs w:val="20"/>
        </w:rPr>
      </w:pPr>
    </w:p>
    <w:p w:rsidR="00BA0C06" w:rsidRDefault="00BA0C06" w:rsidP="00BA0C06">
      <w:pPr>
        <w:spacing w:after="0"/>
        <w:jc w:val="both"/>
        <w:rPr>
          <w:rFonts w:ascii="Arial" w:hAnsi="Arial" w:cs="Arial"/>
          <w:b/>
          <w:bCs/>
          <w:color w:val="000000"/>
          <w:sz w:val="20"/>
          <w:szCs w:val="20"/>
        </w:rPr>
      </w:pPr>
      <w:r>
        <w:rPr>
          <w:rFonts w:ascii="Arial" w:hAnsi="Arial" w:cs="Arial"/>
          <w:b/>
          <w:bCs/>
          <w:color w:val="000000"/>
          <w:sz w:val="20"/>
          <w:szCs w:val="20"/>
        </w:rPr>
        <w:lastRenderedPageBreak/>
        <w:t>Overseas foreign currency borrowings of Authorised Dealer Category-I banks</w:t>
      </w:r>
    </w:p>
    <w:p w:rsidR="00BA0C06" w:rsidRDefault="00BA0C06" w:rsidP="00BA0C06">
      <w:pPr>
        <w:spacing w:after="0"/>
        <w:jc w:val="both"/>
        <w:rPr>
          <w:rFonts w:ascii="Arial" w:hAnsi="Arial" w:cs="Arial"/>
          <w:b/>
          <w:bCs/>
          <w:color w:val="000000"/>
          <w:sz w:val="20"/>
          <w:szCs w:val="20"/>
        </w:rPr>
      </w:pP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July 07, 2022</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Madam/Sir,</w:t>
      </w:r>
    </w:p>
    <w:p w:rsidR="00BA0C06" w:rsidRDefault="00BA0C06" w:rsidP="00BA0C06">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21"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22"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23"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24"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25"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BA0C06" w:rsidRDefault="00BA0C06" w:rsidP="00BA0C0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BA0C06" w:rsidRPr="001B0D06" w:rsidRDefault="00BA0C06" w:rsidP="00BA0C0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 w:rsidR="00BA0C06" w:rsidRDefault="00BA0C06" w:rsidP="00BA0C06"/>
    <w:p w:rsidR="00BA0C06" w:rsidRDefault="00BA0C06" w:rsidP="00BA0C06">
      <w:r>
        <w:t>More details can be referred to in the below link.</w:t>
      </w:r>
    </w:p>
    <w:p w:rsidR="00BA0C06" w:rsidRDefault="00BA0C06" w:rsidP="00BA0C06">
      <w:pPr>
        <w:spacing w:after="0"/>
        <w:jc w:val="both"/>
        <w:rPr>
          <w:rFonts w:ascii="Arial" w:hAnsi="Arial" w:cs="Arial"/>
          <w:sz w:val="20"/>
          <w:szCs w:val="20"/>
        </w:rPr>
      </w:pPr>
    </w:p>
    <w:p w:rsidR="00BA0C06" w:rsidRDefault="00BA0C06" w:rsidP="00BA0C06">
      <w:pPr>
        <w:spacing w:after="0"/>
        <w:jc w:val="both"/>
        <w:rPr>
          <w:rFonts w:ascii="Arial" w:hAnsi="Arial" w:cs="Arial"/>
          <w:sz w:val="20"/>
          <w:szCs w:val="20"/>
        </w:rPr>
      </w:pPr>
      <w:r>
        <w:rPr>
          <w:rFonts w:ascii="Arial" w:hAnsi="Arial" w:cs="Arial"/>
          <w:sz w:val="20"/>
          <w:szCs w:val="20"/>
        </w:rPr>
        <w:t>Reference Link:</w:t>
      </w:r>
      <w:r w:rsidRPr="00121B22">
        <w:t xml:space="preserve"> </w:t>
      </w:r>
      <w:hyperlink r:id="rId26" w:history="1">
        <w:r w:rsidRPr="00200311">
          <w:rPr>
            <w:rStyle w:val="Hyperlink"/>
            <w:rFonts w:ascii="Arial" w:hAnsi="Arial" w:cs="Arial"/>
            <w:sz w:val="20"/>
            <w:szCs w:val="20"/>
          </w:rPr>
          <w:t>https://www.rbi.org.in/scripts/NotificationUser.aspx?Id=12356&amp;Mode=0</w:t>
        </w:r>
      </w:hyperlink>
    </w:p>
    <w:p w:rsidR="00BA0C06" w:rsidRDefault="00BA0C06" w:rsidP="00BA0C06">
      <w:pPr>
        <w:spacing w:after="0"/>
        <w:jc w:val="both"/>
        <w:rPr>
          <w:rFonts w:ascii="Arial" w:hAnsi="Arial" w:cs="Arial"/>
          <w:sz w:val="20"/>
          <w:szCs w:val="20"/>
        </w:rPr>
      </w:pPr>
    </w:p>
    <w:p w:rsidR="00BA0C06" w:rsidRDefault="00BA0C06" w:rsidP="00BA0C06">
      <w:pPr>
        <w:spacing w:after="0"/>
        <w:jc w:val="both"/>
        <w:rPr>
          <w:rFonts w:ascii="Arial" w:hAnsi="Arial" w:cs="Arial"/>
          <w:sz w:val="20"/>
          <w:szCs w:val="20"/>
        </w:rPr>
      </w:pPr>
    </w:p>
    <w:p w:rsidR="00BA0C06" w:rsidRDefault="00BA0C06" w:rsidP="00BA0C06">
      <w:pPr>
        <w:spacing w:after="0"/>
        <w:jc w:val="both"/>
        <w:rPr>
          <w:rFonts w:ascii="Arial" w:hAnsi="Arial" w:cs="Arial"/>
          <w:sz w:val="20"/>
          <w:szCs w:val="20"/>
        </w:rPr>
      </w:pPr>
    </w:p>
    <w:p w:rsidR="00BA0C06" w:rsidRDefault="00BA0C06" w:rsidP="00BA0C06">
      <w:pPr>
        <w:spacing w:after="0"/>
        <w:jc w:val="both"/>
        <w:rPr>
          <w:rFonts w:ascii="Arial" w:hAnsi="Arial" w:cs="Arial"/>
          <w:sz w:val="20"/>
          <w:szCs w:val="20"/>
        </w:rPr>
      </w:pPr>
    </w:p>
    <w:p w:rsidR="00BA0C06" w:rsidRDefault="00BA0C06" w:rsidP="00BA0C06">
      <w:pPr>
        <w:rPr>
          <w:rFonts w:ascii="Arial" w:hAnsi="Arial" w:cs="Arial"/>
          <w:b/>
          <w:bCs/>
          <w:color w:val="000000"/>
          <w:sz w:val="20"/>
          <w:szCs w:val="20"/>
        </w:rPr>
      </w:pPr>
      <w:r>
        <w:br w:type="page"/>
      </w:r>
      <w:r>
        <w:rPr>
          <w:rFonts w:ascii="Arial" w:hAnsi="Arial" w:cs="Arial"/>
          <w:b/>
          <w:bCs/>
          <w:color w:val="000000"/>
          <w:sz w:val="20"/>
          <w:szCs w:val="20"/>
        </w:rPr>
        <w:lastRenderedPageBreak/>
        <w:t>International Trade Settlement in Indian Rupees (INR)</w:t>
      </w:r>
    </w:p>
    <w:p w:rsidR="00BA0C06" w:rsidRPr="001E7AD4" w:rsidRDefault="00BA0C06" w:rsidP="00BA0C06">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RBI/2022-2023/90</w:t>
      </w:r>
      <w:r w:rsidRPr="001E7AD4">
        <w:rPr>
          <w:rFonts w:ascii="Arial" w:eastAsia="Times New Roman" w:hAnsi="Arial" w:cs="Arial"/>
          <w:color w:val="000000"/>
          <w:sz w:val="20"/>
          <w:szCs w:val="20"/>
          <w:lang w:eastAsia="en-IN"/>
        </w:rPr>
        <w:br/>
        <w:t>A.P. (DIR Series) Circular No.10</w:t>
      </w:r>
    </w:p>
    <w:p w:rsidR="00BA0C06" w:rsidRPr="001E7AD4" w:rsidRDefault="00BA0C06" w:rsidP="00BA0C06">
      <w:pPr>
        <w:spacing w:before="100" w:beforeAutospacing="1" w:after="100" w:afterAutospacing="1" w:line="240" w:lineRule="auto"/>
        <w:jc w:val="right"/>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July 11, 2022</w:t>
      </w:r>
    </w:p>
    <w:p w:rsidR="00BA0C06" w:rsidRDefault="00BA0C06" w:rsidP="00BA0C06">
      <w:pPr>
        <w:pStyle w:val="NoSpacing"/>
        <w:rPr>
          <w:lang w:eastAsia="en-IN"/>
        </w:rPr>
      </w:pPr>
      <w:r w:rsidRPr="001E7AD4">
        <w:rPr>
          <w:lang w:eastAsia="en-IN"/>
        </w:rPr>
        <w:t>To</w:t>
      </w:r>
    </w:p>
    <w:p w:rsidR="00BA0C06" w:rsidRPr="001E7AD4" w:rsidRDefault="00BA0C06" w:rsidP="00BA0C06">
      <w:pPr>
        <w:pStyle w:val="NoSpacing"/>
        <w:rPr>
          <w:lang w:eastAsia="en-IN"/>
        </w:rPr>
      </w:pPr>
      <w:r w:rsidRPr="001E7AD4">
        <w:rPr>
          <w:lang w:eastAsia="en-IN"/>
        </w:rPr>
        <w:t>All Category-I Authorised Dealer Banks</w:t>
      </w:r>
    </w:p>
    <w:p w:rsidR="00BA0C06" w:rsidRPr="001E7AD4" w:rsidRDefault="00BA0C06" w:rsidP="00BA0C06">
      <w:pPr>
        <w:pStyle w:val="NoSpacing"/>
        <w:rPr>
          <w:lang w:eastAsia="en-IN"/>
        </w:rPr>
      </w:pPr>
      <w:r w:rsidRPr="001E7AD4">
        <w:rPr>
          <w:lang w:eastAsia="en-IN"/>
        </w:rPr>
        <w:t>Madam/Sir</w:t>
      </w:r>
    </w:p>
    <w:p w:rsidR="00BA0C06" w:rsidRPr="001E7AD4" w:rsidRDefault="00BA0C06" w:rsidP="00BA0C06">
      <w:pPr>
        <w:spacing w:before="100" w:beforeAutospacing="1" w:after="100" w:afterAutospacing="1" w:line="240" w:lineRule="auto"/>
        <w:jc w:val="both"/>
        <w:rPr>
          <w:rFonts w:ascii="Arial" w:eastAsia="Times New Roman" w:hAnsi="Arial" w:cs="Arial"/>
          <w:b/>
          <w:bCs/>
          <w:color w:val="000000"/>
          <w:sz w:val="20"/>
          <w:szCs w:val="20"/>
          <w:lang w:eastAsia="en-IN"/>
        </w:rPr>
      </w:pPr>
      <w:r w:rsidRPr="001E7AD4">
        <w:rPr>
          <w:rFonts w:ascii="Arial" w:eastAsia="Times New Roman" w:hAnsi="Arial" w:cs="Arial"/>
          <w:b/>
          <w:bCs/>
          <w:color w:val="000000"/>
          <w:sz w:val="20"/>
          <w:szCs w:val="20"/>
          <w:u w:val="single"/>
          <w:lang w:eastAsia="en-IN"/>
        </w:rPr>
        <w:t>International Trade Settlement in Indian Rupees (INR)</w:t>
      </w:r>
    </w:p>
    <w:p w:rsidR="00BA0C06" w:rsidRPr="001E7AD4" w:rsidRDefault="00BA0C06" w:rsidP="00BA0C06">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 order to promote growth of global trade with emphasis on exports from India and to support the increasing interest of global trading community in INR, it has been decided to put in place an additional arrangement for invoicing, payment, and settlement of exports / imports in INR. Before putting in place this mechanism, AD banks shall require prior approval from the Foreign Exchange Department of Reserve Bank of India, Central Office at Mumbai.</w:t>
      </w:r>
    </w:p>
    <w:p w:rsidR="00BA0C06" w:rsidRPr="001E7AD4" w:rsidRDefault="00BA0C06" w:rsidP="00BA0C06">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2. The broad framework for cross border trade transactions in INR under Foreign Exchange Management Act, 1999 (FEMA) is as delineated below:</w:t>
      </w:r>
    </w:p>
    <w:p w:rsidR="00BA0C06" w:rsidRPr="000F6CB6" w:rsidRDefault="00BA0C06" w:rsidP="00DA1141">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Invoicing</w:t>
      </w:r>
    </w:p>
    <w:p w:rsidR="00BA0C06" w:rsidRPr="000F6CB6" w:rsidRDefault="00BA0C06" w:rsidP="00DA1141">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Exchange Rate</w:t>
      </w:r>
    </w:p>
    <w:p w:rsidR="00BA0C06" w:rsidRDefault="00BA0C06" w:rsidP="00DA1141">
      <w:pPr>
        <w:numPr>
          <w:ilvl w:val="0"/>
          <w:numId w:val="4"/>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Settlement</w:t>
      </w:r>
      <w:r w:rsidRPr="001E7AD4">
        <w:rPr>
          <w:rFonts w:ascii="Arial" w:eastAsia="Times New Roman" w:hAnsi="Arial" w:cs="Arial"/>
          <w:color w:val="000000"/>
          <w:sz w:val="20"/>
          <w:szCs w:val="20"/>
          <w:lang w:eastAsia="en-IN"/>
        </w:rPr>
        <w:t> </w:t>
      </w:r>
    </w:p>
    <w:p w:rsidR="00BA0C06" w:rsidRPr="001E7AD4" w:rsidRDefault="00BA0C06" w:rsidP="00BA0C06">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 xml:space="preserve"> 3. 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w:t>
      </w:r>
    </w:p>
    <w:p w:rsidR="00BA0C06" w:rsidRPr="001E7AD4" w:rsidRDefault="00BA0C06" w:rsidP="00DA1141">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rsidR="00BA0C06" w:rsidRPr="001E7AD4" w:rsidRDefault="00BA0C06" w:rsidP="00DA1141">
      <w:pPr>
        <w:numPr>
          <w:ilvl w:val="0"/>
          <w:numId w:val="5"/>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exporters, undertaking exports of goods and services through this mechanism, shall be paid the export proceeds in INR from the balances in the designated Special Vostro account of the correspondent bank of the partner country.</w:t>
      </w:r>
    </w:p>
    <w:p w:rsidR="00BA0C06" w:rsidRPr="001F219E" w:rsidRDefault="00BA0C06" w:rsidP="00BA0C06">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4.    Documentation</w:t>
      </w:r>
    </w:p>
    <w:p w:rsidR="00BA0C06" w:rsidRPr="001F219E" w:rsidRDefault="00BA0C06" w:rsidP="00BA0C06">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5.    Advance against exports</w:t>
      </w:r>
    </w:p>
    <w:p w:rsidR="00BA0C06" w:rsidRPr="001F219E" w:rsidRDefault="00BA0C06" w:rsidP="00BA0C06">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6.    Setting-off of export receivables</w:t>
      </w:r>
    </w:p>
    <w:p w:rsidR="00BA0C06" w:rsidRPr="001F219E" w:rsidRDefault="00BA0C06" w:rsidP="00BA0C06">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7.    Bank Guarantee</w:t>
      </w:r>
      <w:r w:rsidRPr="001E7AD4">
        <w:rPr>
          <w:rFonts w:ascii="Arial" w:eastAsia="Times New Roman" w:hAnsi="Arial" w:cs="Arial"/>
          <w:color w:val="000000"/>
          <w:sz w:val="20"/>
          <w:szCs w:val="20"/>
          <w:lang w:eastAsia="en-IN"/>
        </w:rPr>
        <w:t> </w:t>
      </w:r>
    </w:p>
    <w:p w:rsidR="00BA0C06" w:rsidRPr="001E7AD4" w:rsidRDefault="00BA0C06" w:rsidP="00BA0C06">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8.    Use of Surplus Balance</w:t>
      </w:r>
    </w:p>
    <w:p w:rsidR="00BA0C06" w:rsidRPr="001E7AD4" w:rsidRDefault="00BA0C06" w:rsidP="00BA0C06">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9.    Reporting Requirements</w:t>
      </w:r>
    </w:p>
    <w:p w:rsidR="00BA0C06" w:rsidRPr="001F219E" w:rsidRDefault="00BA0C06" w:rsidP="00BA0C06">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10.  Approval Process</w:t>
      </w:r>
    </w:p>
    <w:p w:rsidR="00BA0C06" w:rsidRPr="001E7AD4" w:rsidRDefault="00BA0C06" w:rsidP="00BA0C06">
      <w:pPr>
        <w:spacing w:after="0" w:line="240" w:lineRule="auto"/>
        <w:jc w:val="both"/>
        <w:rPr>
          <w:rFonts w:ascii="Arial" w:eastAsia="Times New Roman" w:hAnsi="Arial" w:cs="Arial"/>
          <w:b/>
          <w:bCs/>
          <w:color w:val="000000"/>
          <w:sz w:val="20"/>
          <w:szCs w:val="20"/>
          <w:lang w:eastAsia="en-IN"/>
        </w:rPr>
      </w:pPr>
    </w:p>
    <w:p w:rsidR="00BA0C06" w:rsidRPr="001E7AD4" w:rsidRDefault="00BA0C06" w:rsidP="00BA0C06">
      <w:pPr>
        <w:spacing w:after="0"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Yours faithfully,</w:t>
      </w:r>
    </w:p>
    <w:p w:rsidR="00BA0C06" w:rsidRPr="001E7AD4" w:rsidRDefault="00BA0C06" w:rsidP="00BA0C06">
      <w:pPr>
        <w:spacing w:after="0" w:line="240" w:lineRule="auto"/>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(Vivek</w:t>
      </w:r>
      <w:r>
        <w:rPr>
          <w:rFonts w:ascii="Arial" w:eastAsia="Times New Roman" w:hAnsi="Arial" w:cs="Arial"/>
          <w:color w:val="000000"/>
          <w:sz w:val="20"/>
          <w:szCs w:val="20"/>
          <w:lang w:eastAsia="en-IN"/>
        </w:rPr>
        <w:t xml:space="preserve"> </w:t>
      </w:r>
      <w:r w:rsidRPr="001E7AD4">
        <w:rPr>
          <w:rFonts w:ascii="Arial" w:eastAsia="Times New Roman" w:hAnsi="Arial" w:cs="Arial"/>
          <w:color w:val="000000"/>
          <w:sz w:val="20"/>
          <w:szCs w:val="20"/>
          <w:lang w:eastAsia="en-IN"/>
        </w:rPr>
        <w:t>Srivastava)</w:t>
      </w:r>
      <w:r w:rsidRPr="001E7AD4">
        <w:rPr>
          <w:rFonts w:ascii="Arial" w:eastAsia="Times New Roman" w:hAnsi="Arial" w:cs="Arial"/>
          <w:color w:val="000000"/>
          <w:sz w:val="20"/>
          <w:szCs w:val="20"/>
          <w:lang w:eastAsia="en-IN"/>
        </w:rPr>
        <w:br/>
        <w:t>Chief General Manager</w:t>
      </w:r>
    </w:p>
    <w:p w:rsidR="00BA0C06" w:rsidRDefault="00BA0C06" w:rsidP="00BA0C06"/>
    <w:p w:rsidR="00BA0C06" w:rsidRDefault="00BA0C06" w:rsidP="00BA0C06"/>
    <w:p w:rsidR="00BA0C06" w:rsidRDefault="00BA0C06" w:rsidP="00BA0C06">
      <w:r>
        <w:t>More details can be referred to in the below link.</w:t>
      </w:r>
    </w:p>
    <w:p w:rsidR="00BA0C06" w:rsidRDefault="00BA0C06" w:rsidP="00BA0C06">
      <w:pPr>
        <w:spacing w:after="0"/>
        <w:jc w:val="both"/>
      </w:pPr>
      <w:r>
        <w:rPr>
          <w:rFonts w:ascii="Arial" w:hAnsi="Arial" w:cs="Arial"/>
          <w:sz w:val="20"/>
          <w:szCs w:val="20"/>
        </w:rPr>
        <w:t>Reference Link:</w:t>
      </w:r>
      <w:r w:rsidRPr="00121B22">
        <w:t xml:space="preserve"> </w:t>
      </w:r>
      <w:hyperlink r:id="rId27" w:history="1">
        <w:r w:rsidRPr="00200311">
          <w:rPr>
            <w:rStyle w:val="Hyperlink"/>
          </w:rPr>
          <w:t>https://rbi.org.in/Scripts/NotificationUser.aspx?Id=12358&amp;Mode=0</w:t>
        </w:r>
      </w:hyperlink>
    </w:p>
    <w:p w:rsidR="00BA0C06" w:rsidRPr="0095703D" w:rsidRDefault="00BA0C06" w:rsidP="00BA0C06">
      <w:pPr>
        <w:rPr>
          <w:rFonts w:ascii="Arial" w:hAnsi="Arial" w:cs="Arial"/>
          <w:b/>
          <w:sz w:val="20"/>
          <w:szCs w:val="20"/>
        </w:rPr>
      </w:pPr>
      <w:r w:rsidRPr="0095703D">
        <w:rPr>
          <w:rFonts w:ascii="Arial" w:hAnsi="Arial" w:cs="Arial"/>
          <w:b/>
          <w:sz w:val="20"/>
          <w:szCs w:val="20"/>
        </w:rPr>
        <w:lastRenderedPageBreak/>
        <w:t xml:space="preserve">Master Circular – </w:t>
      </w:r>
      <w:proofErr w:type="spellStart"/>
      <w:r w:rsidRPr="0095703D">
        <w:rPr>
          <w:rFonts w:ascii="Arial" w:hAnsi="Arial" w:cs="Arial"/>
          <w:b/>
          <w:sz w:val="20"/>
          <w:szCs w:val="20"/>
        </w:rPr>
        <w:t>Deendayal</w:t>
      </w:r>
      <w:proofErr w:type="spellEnd"/>
      <w:r w:rsidRPr="0095703D">
        <w:rPr>
          <w:rFonts w:ascii="Arial" w:hAnsi="Arial" w:cs="Arial"/>
          <w:b/>
          <w:sz w:val="20"/>
          <w:szCs w:val="20"/>
        </w:rPr>
        <w:t xml:space="preserve"> </w:t>
      </w:r>
      <w:proofErr w:type="spellStart"/>
      <w:r w:rsidRPr="0095703D">
        <w:rPr>
          <w:rFonts w:ascii="Arial" w:hAnsi="Arial" w:cs="Arial"/>
          <w:b/>
          <w:sz w:val="20"/>
          <w:szCs w:val="20"/>
        </w:rPr>
        <w:t>Antyodaya</w:t>
      </w:r>
      <w:proofErr w:type="spellEnd"/>
      <w:r w:rsidRPr="0095703D">
        <w:rPr>
          <w:rFonts w:ascii="Arial" w:hAnsi="Arial" w:cs="Arial"/>
          <w:b/>
          <w:sz w:val="20"/>
          <w:szCs w:val="20"/>
        </w:rPr>
        <w:t xml:space="preserve"> </w:t>
      </w:r>
      <w:proofErr w:type="spellStart"/>
      <w:r w:rsidRPr="0095703D">
        <w:rPr>
          <w:rFonts w:ascii="Arial" w:hAnsi="Arial" w:cs="Arial"/>
          <w:b/>
          <w:sz w:val="20"/>
          <w:szCs w:val="20"/>
        </w:rPr>
        <w:t>Yojana</w:t>
      </w:r>
      <w:proofErr w:type="spellEnd"/>
      <w:r w:rsidRPr="0095703D">
        <w:rPr>
          <w:rFonts w:ascii="Arial" w:hAnsi="Arial" w:cs="Arial"/>
          <w:b/>
          <w:sz w:val="20"/>
          <w:szCs w:val="20"/>
        </w:rPr>
        <w:t xml:space="preserve"> - National Rural Livelihoods Mission (DAY-NRLM)</w:t>
      </w:r>
    </w:p>
    <w:p w:rsidR="00BA0C06" w:rsidRDefault="00BA0C06" w:rsidP="00BA0C06">
      <w:pPr>
        <w:spacing w:after="0"/>
        <w:rPr>
          <w:rFonts w:ascii="Arial" w:hAnsi="Arial" w:cs="Arial"/>
          <w:sz w:val="20"/>
          <w:szCs w:val="20"/>
        </w:rPr>
      </w:pPr>
      <w:r w:rsidRPr="0095703D">
        <w:rPr>
          <w:rFonts w:ascii="Arial" w:hAnsi="Arial" w:cs="Arial"/>
          <w:sz w:val="20"/>
          <w:szCs w:val="20"/>
        </w:rPr>
        <w:t>RBI/2022-23/92</w:t>
      </w:r>
    </w:p>
    <w:p w:rsidR="00BA0C06" w:rsidRPr="0095703D" w:rsidRDefault="00BA0C06" w:rsidP="00BA0C06">
      <w:pPr>
        <w:spacing w:after="0"/>
        <w:rPr>
          <w:rFonts w:ascii="Arial" w:hAnsi="Arial" w:cs="Arial"/>
          <w:sz w:val="20"/>
          <w:szCs w:val="20"/>
        </w:rPr>
      </w:pPr>
      <w:proofErr w:type="gramStart"/>
      <w:r>
        <w:rPr>
          <w:rFonts w:ascii="Arial" w:hAnsi="Arial" w:cs="Arial"/>
          <w:color w:val="000000"/>
          <w:sz w:val="20"/>
          <w:szCs w:val="20"/>
        </w:rPr>
        <w:t>FIDD.GSSD.CO.BC.No.</w:t>
      </w:r>
      <w:proofErr w:type="gramEnd"/>
      <w:r>
        <w:rPr>
          <w:rFonts w:ascii="Arial" w:hAnsi="Arial" w:cs="Arial"/>
          <w:color w:val="000000"/>
          <w:sz w:val="20"/>
          <w:szCs w:val="20"/>
        </w:rPr>
        <w:t>09/09.01.003/2022-23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July 20,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Madam/Dear Sir,</w:t>
      </w:r>
    </w:p>
    <w:p w:rsidR="00BA0C06" w:rsidRDefault="00BA0C06" w:rsidP="00BA0C06">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8" w:tgtFrame="_blank" w:history="1">
        <w:r>
          <w:rPr>
            <w:rStyle w:val="Hyperlink"/>
            <w:rFonts w:ascii="Arial" w:hAnsi="Arial" w:cs="Arial"/>
            <w:sz w:val="20"/>
            <w:szCs w:val="20"/>
          </w:rPr>
          <w:t>Master Circular FIDD.GSSD.CO.BC.No.04/09.01.01/2021-22 dated April 01, 2021</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2. The enclosed </w:t>
      </w:r>
      <w:hyperlink r:id="rId29"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Pr>
        <w:rPr>
          <w:rFonts w:ascii="Arial" w:hAnsi="Arial" w:cs="Arial"/>
          <w:sz w:val="20"/>
          <w:szCs w:val="20"/>
        </w:rPr>
      </w:pPr>
    </w:p>
    <w:p w:rsidR="00BA0C06" w:rsidRDefault="00BA0C06" w:rsidP="00BA0C06">
      <w:pPr>
        <w:rPr>
          <w:rFonts w:ascii="Arial" w:hAnsi="Arial" w:cs="Arial"/>
          <w:sz w:val="20"/>
          <w:szCs w:val="20"/>
        </w:rPr>
      </w:pPr>
    </w:p>
    <w:p w:rsidR="00BA0C06" w:rsidRDefault="00BA0C06" w:rsidP="00BA0C06">
      <w:pPr>
        <w:rPr>
          <w:rFonts w:ascii="Arial" w:hAnsi="Arial" w:cs="Arial"/>
          <w:sz w:val="20"/>
          <w:szCs w:val="20"/>
        </w:rPr>
      </w:pPr>
    </w:p>
    <w:p w:rsidR="00BA0C06" w:rsidRDefault="00BA0C06" w:rsidP="00BA0C06">
      <w:r>
        <w:t>More details can be referred to in the below link.</w:t>
      </w:r>
    </w:p>
    <w:p w:rsidR="00BA0C06" w:rsidRDefault="00BA0C06" w:rsidP="00BA0C06">
      <w:pPr>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735218">
          <w:rPr>
            <w:rStyle w:val="Hyperlink"/>
            <w:rFonts w:ascii="Arial" w:hAnsi="Arial" w:cs="Arial"/>
            <w:bCs/>
            <w:sz w:val="20"/>
            <w:szCs w:val="20"/>
          </w:rPr>
          <w:t>https://www.rbi.org.in/scripts/NotificationUser.aspx?Id=12360&amp;Mode=0</w:t>
        </w:r>
      </w:hyperlink>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6458AB" w:rsidRDefault="006458AB" w:rsidP="00BA0C06">
      <w:pPr>
        <w:jc w:val="both"/>
        <w:rPr>
          <w:rFonts w:ascii="Arial" w:hAnsi="Arial" w:cs="Arial"/>
          <w:b/>
          <w:bCs/>
          <w:color w:val="000000"/>
          <w:sz w:val="20"/>
          <w:szCs w:val="20"/>
        </w:rPr>
      </w:pPr>
    </w:p>
    <w:p w:rsidR="00BA0C06" w:rsidRDefault="00BA0C06" w:rsidP="00BA0C06">
      <w:pPr>
        <w:rPr>
          <w:rFonts w:ascii="Arial" w:hAnsi="Arial" w:cs="Arial"/>
          <w:b/>
          <w:bCs/>
          <w:color w:val="000000"/>
          <w:sz w:val="20"/>
          <w:szCs w:val="20"/>
        </w:rPr>
      </w:pPr>
      <w:r>
        <w:rPr>
          <w:rFonts w:ascii="Arial" w:hAnsi="Arial" w:cs="Arial"/>
          <w:b/>
          <w:bCs/>
          <w:color w:val="000000"/>
          <w:sz w:val="20"/>
          <w:szCs w:val="20"/>
        </w:rPr>
        <w:lastRenderedPageBreak/>
        <w:t>Board approved Loan Policy – Management of Advances – UCBs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RBI/2022-23/93</w:t>
      </w:r>
      <w:r>
        <w:rPr>
          <w:rFonts w:ascii="Arial" w:hAnsi="Arial" w:cs="Arial"/>
          <w:color w:val="000000"/>
          <w:sz w:val="20"/>
          <w:szCs w:val="20"/>
        </w:rPr>
        <w:br/>
        <w:t>DOR.CRE.REC.56/13.05.000/2022-23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July 26, 2022</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Madam / Dear Sir,</w:t>
      </w:r>
    </w:p>
    <w:p w:rsidR="00BA0C06" w:rsidRDefault="00BA0C06" w:rsidP="00BA0C06">
      <w:pPr>
        <w:pStyle w:val="head"/>
        <w:jc w:val="both"/>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Please refer to para 1 of the </w:t>
      </w:r>
      <w:hyperlink r:id="rId31" w:tgtFrame="_blank" w:history="1">
        <w:r>
          <w:rPr>
            <w:rStyle w:val="Hyperlink"/>
            <w:rFonts w:ascii="Arial" w:hAnsi="Arial" w:cs="Arial"/>
            <w:sz w:val="20"/>
            <w:szCs w:val="20"/>
          </w:rPr>
          <w:t>Master Circular DOR.CRE.REC.No.17/13.05.000/2022-23 dated April 8, 2022</w:t>
        </w:r>
      </w:hyperlink>
      <w:r>
        <w:rPr>
          <w:rFonts w:ascii="Arial" w:hAnsi="Arial" w:cs="Arial"/>
          <w:color w:val="000000"/>
          <w:sz w:val="20"/>
          <w:szCs w:val="20"/>
        </w:rPr>
        <w:t> on Management of Advances – UCBs in terms of which, UCBs are required to lay down, with the approval of their boards, transparent policies and guidelines for credit dispensation, in respect of each broad category of economic activity, keeping in view the credit exposure norms and various other guidelines issued by Reserve Bank from time to time.</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2. It has been observed in several UCBs that these policies not only lack comprehensive coverage, but also do not require a periodic review. In order to ensure that the loan policy reflects approved internal risk appetite and remains in alignment with the extant regulations, it is advised that the loan policy of the bank shall be reviewed by the Board at least once in a financial year.</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3. The above instructions will come into effect immediately.</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BA0C06" w:rsidRDefault="00BA0C06" w:rsidP="00BA0C06">
      <w:pPr>
        <w:rPr>
          <w:rFonts w:ascii="Arial" w:hAnsi="Arial" w:cs="Arial"/>
          <w:sz w:val="20"/>
          <w:szCs w:val="20"/>
        </w:rPr>
      </w:pPr>
    </w:p>
    <w:p w:rsidR="00BA0C06" w:rsidRDefault="00BA0C06" w:rsidP="00BA0C06">
      <w:pPr>
        <w:rPr>
          <w:rFonts w:ascii="Arial" w:hAnsi="Arial" w:cs="Arial"/>
          <w:sz w:val="20"/>
          <w:szCs w:val="20"/>
        </w:rPr>
      </w:pPr>
    </w:p>
    <w:p w:rsidR="00BA0C06" w:rsidRDefault="00BA0C06" w:rsidP="00BA0C06">
      <w:pPr>
        <w:rPr>
          <w:rFonts w:ascii="Arial" w:hAnsi="Arial" w:cs="Arial"/>
          <w:sz w:val="20"/>
          <w:szCs w:val="20"/>
        </w:rPr>
      </w:pPr>
    </w:p>
    <w:p w:rsidR="00BA0C06" w:rsidRDefault="00BA0C06" w:rsidP="00BA0C06">
      <w:r>
        <w:t>More details can be referred to in the below link.</w:t>
      </w:r>
    </w:p>
    <w:p w:rsidR="00BA0C06" w:rsidRDefault="00BA0C06" w:rsidP="00BA0C06">
      <w:pPr>
        <w:rPr>
          <w:rFonts w:ascii="Arial" w:hAnsi="Arial" w:cs="Arial"/>
          <w:bCs/>
          <w:color w:val="000000"/>
          <w:sz w:val="20"/>
          <w:szCs w:val="20"/>
        </w:rPr>
      </w:pPr>
      <w:r>
        <w:rPr>
          <w:rFonts w:ascii="Arial" w:hAnsi="Arial" w:cs="Arial"/>
          <w:bCs/>
          <w:color w:val="000000"/>
          <w:sz w:val="20"/>
          <w:szCs w:val="20"/>
        </w:rPr>
        <w:t xml:space="preserve">Reference Link: </w:t>
      </w:r>
      <w:hyperlink r:id="rId32" w:history="1">
        <w:r w:rsidRPr="00735218">
          <w:rPr>
            <w:rStyle w:val="Hyperlink"/>
            <w:rFonts w:ascii="Arial" w:hAnsi="Arial" w:cs="Arial"/>
            <w:bCs/>
            <w:sz w:val="20"/>
            <w:szCs w:val="20"/>
          </w:rPr>
          <w:t>https://www.rbi.org.in/scripts/NotificationUser.aspx?Id=12361&amp;Mode=0</w:t>
        </w:r>
      </w:hyperlink>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rPr>
          <w:rFonts w:ascii="Arial" w:hAnsi="Arial" w:cs="Arial"/>
          <w:b/>
          <w:bCs/>
          <w:color w:val="000000"/>
          <w:sz w:val="20"/>
          <w:szCs w:val="20"/>
        </w:rPr>
      </w:pPr>
      <w:r>
        <w:rPr>
          <w:rFonts w:ascii="Arial" w:hAnsi="Arial" w:cs="Arial"/>
          <w:b/>
          <w:bCs/>
          <w:color w:val="000000"/>
          <w:sz w:val="20"/>
          <w:szCs w:val="20"/>
        </w:rPr>
        <w:lastRenderedPageBreak/>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RBI/2022-2023/95</w:t>
      </w:r>
      <w:r>
        <w:rPr>
          <w:rFonts w:ascii="Arial" w:hAnsi="Arial" w:cs="Arial"/>
          <w:color w:val="000000"/>
          <w:sz w:val="20"/>
          <w:szCs w:val="20"/>
        </w:rPr>
        <w:br/>
        <w:t>CO.DPSS.POLC.No.S-760/02-14-003/2022-23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July 28,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All Payment System Providers and Payment System Participants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Madam / Dear Sir,</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Reference is invited to </w:t>
      </w:r>
      <w:hyperlink r:id="rId33" w:tgtFrame="_blank" w:history="1">
        <w:r>
          <w:rPr>
            <w:rStyle w:val="Hyperlink"/>
            <w:rFonts w:ascii="Arial" w:hAnsi="Arial" w:cs="Arial"/>
            <w:sz w:val="20"/>
            <w:szCs w:val="20"/>
          </w:rPr>
          <w:t>Reserve Bank of India (RBI) circulars DPSS.CO.PD.No.1810/02.14.008/2019-20 dated March 17, 2020</w:t>
        </w:r>
      </w:hyperlink>
      <w:r>
        <w:rPr>
          <w:rFonts w:ascii="Arial" w:hAnsi="Arial" w:cs="Arial"/>
          <w:color w:val="000000"/>
          <w:sz w:val="20"/>
          <w:szCs w:val="20"/>
        </w:rPr>
        <w:t> and </w:t>
      </w:r>
      <w:hyperlink r:id="rId34" w:tgtFrame="_blank" w:history="1">
        <w:r>
          <w:rPr>
            <w:rStyle w:val="Hyperlink"/>
            <w:rFonts w:ascii="Arial" w:hAnsi="Arial" w:cs="Arial"/>
            <w:sz w:val="20"/>
            <w:szCs w:val="20"/>
          </w:rPr>
          <w:t>CO.DPSS.POLC.No.S33/02-14-008/2020-2021 dated March 31, 2021</w:t>
        </w:r>
      </w:hyperlink>
      <w:r>
        <w:rPr>
          <w:rFonts w:ascii="Arial" w:hAnsi="Arial" w:cs="Arial"/>
          <w:color w:val="000000"/>
          <w:sz w:val="20"/>
          <w:szCs w:val="20"/>
        </w:rPr>
        <w:t> on “Guidelines on Regulation of Payment Aggregators and Payment Gateways”, </w:t>
      </w:r>
      <w:hyperlink r:id="rId35" w:tgtFrame="_blank" w:history="1">
        <w:r>
          <w:rPr>
            <w:rStyle w:val="Hyperlink"/>
            <w:rFonts w:ascii="Arial" w:hAnsi="Arial" w:cs="Arial"/>
            <w:sz w:val="20"/>
            <w:szCs w:val="20"/>
          </w:rPr>
          <w:t>circular CO.DPSS.POLC.No.S-516/02-14-003/2021-22 dated September 07, 2021</w:t>
        </w:r>
      </w:hyperlink>
      <w:r>
        <w:rPr>
          <w:rFonts w:ascii="Arial" w:hAnsi="Arial" w:cs="Arial"/>
          <w:color w:val="000000"/>
          <w:sz w:val="20"/>
          <w:szCs w:val="20"/>
        </w:rPr>
        <w:t> on “Tokenisation – Card Transactions: Permitting Card-on-File Tokenisation (</w:t>
      </w:r>
      <w:proofErr w:type="spellStart"/>
      <w:r>
        <w:rPr>
          <w:rFonts w:ascii="Arial" w:hAnsi="Arial" w:cs="Arial"/>
          <w:color w:val="000000"/>
          <w:sz w:val="20"/>
          <w:szCs w:val="20"/>
        </w:rPr>
        <w:t>CoFT</w:t>
      </w:r>
      <w:proofErr w:type="spellEnd"/>
      <w:r>
        <w:rPr>
          <w:rFonts w:ascii="Arial" w:hAnsi="Arial" w:cs="Arial"/>
          <w:color w:val="000000"/>
          <w:sz w:val="20"/>
          <w:szCs w:val="20"/>
        </w:rPr>
        <w:t>) Services” and, </w:t>
      </w:r>
      <w:hyperlink r:id="rId36" w:tgtFrame="_blank" w:history="1">
        <w:r>
          <w:rPr>
            <w:rStyle w:val="Hyperlink"/>
            <w:rFonts w:ascii="Arial" w:hAnsi="Arial" w:cs="Arial"/>
            <w:sz w:val="20"/>
            <w:szCs w:val="20"/>
          </w:rPr>
          <w:t>circulars CO.DPSS.POLC.No.S-1211/02-14-003/2021-22 dated December 23, 2021</w:t>
        </w:r>
      </w:hyperlink>
      <w:r>
        <w:rPr>
          <w:rFonts w:ascii="Arial" w:hAnsi="Arial" w:cs="Arial"/>
          <w:color w:val="000000"/>
          <w:sz w:val="20"/>
          <w:szCs w:val="20"/>
        </w:rPr>
        <w:t> and </w:t>
      </w:r>
      <w:hyperlink r:id="rId37" w:tgtFrame="_blank" w:history="1">
        <w:r>
          <w:rPr>
            <w:rStyle w:val="Hyperlink"/>
            <w:rFonts w:ascii="Arial" w:hAnsi="Arial" w:cs="Arial"/>
            <w:sz w:val="20"/>
            <w:szCs w:val="20"/>
          </w:rPr>
          <w:t>CO.DPSS.POLC.No.S-567/02-14-003/2022-23 dated June 24, 2022</w:t>
        </w:r>
      </w:hyperlink>
      <w:r>
        <w:rPr>
          <w:rFonts w:ascii="Arial" w:hAnsi="Arial" w:cs="Arial"/>
          <w:color w:val="000000"/>
          <w:sz w:val="20"/>
          <w:szCs w:val="20"/>
        </w:rPr>
        <w:t> on “Restriction on Storage of Actual Card Data [i.e. Card-on-File (</w:t>
      </w:r>
      <w:proofErr w:type="spellStart"/>
      <w:r>
        <w:rPr>
          <w:rFonts w:ascii="Arial" w:hAnsi="Arial" w:cs="Arial"/>
          <w:color w:val="000000"/>
          <w:sz w:val="20"/>
          <w:szCs w:val="20"/>
        </w:rPr>
        <w:t>CoF</w:t>
      </w:r>
      <w:proofErr w:type="spellEnd"/>
      <w:r>
        <w:rPr>
          <w:rFonts w:ascii="Arial" w:hAnsi="Arial" w:cs="Arial"/>
          <w:color w:val="000000"/>
          <w:sz w:val="20"/>
          <w:szCs w:val="20"/>
        </w:rPr>
        <w: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 xml:space="preserve">2. In terms of the above circulars, with effect from October 1, 2022, no entity in the card transaction / payment chain, other than the card issuers and / or card networks, shall store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and any such data stored previously shall be purged.</w:t>
      </w:r>
    </w:p>
    <w:p w:rsidR="00BA0C06" w:rsidRDefault="00BA0C06" w:rsidP="00BA0C06">
      <w:pPr>
        <w:pStyle w:val="NormalWeb"/>
        <w:spacing w:after="0" w:afterAutospacing="0"/>
        <w:rPr>
          <w:rFonts w:ascii="Arial" w:hAnsi="Arial" w:cs="Arial"/>
          <w:color w:val="000000"/>
          <w:sz w:val="20"/>
          <w:szCs w:val="20"/>
        </w:rPr>
      </w:pPr>
      <w:r>
        <w:rPr>
          <w:rFonts w:ascii="Arial" w:hAnsi="Arial" w:cs="Arial"/>
          <w:color w:val="000000"/>
          <w:sz w:val="20"/>
          <w:szCs w:val="20"/>
        </w:rPr>
        <w:t>3. On a review of the issues involved and after detailed discussions thereon with all stakeholders, as also keeping in view that sufficient time has elapsed since the requirements were specified, the following are advised –</w:t>
      </w:r>
    </w:p>
    <w:p w:rsidR="00BA0C06" w:rsidRDefault="00BA0C06" w:rsidP="00BA0C0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 There shall be no change in the effective date of implementation of the requirements – all entities, except card issuers and card networks, shall purge the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before October 1, 2022.</w:t>
      </w:r>
    </w:p>
    <w:p w:rsidR="00BA0C06" w:rsidRDefault="00BA0C06" w:rsidP="00BA0C06">
      <w:pPr>
        <w:pStyle w:val="NormalWeb"/>
        <w:spacing w:before="0" w:beforeAutospacing="0"/>
        <w:rPr>
          <w:rFonts w:ascii="Arial" w:hAnsi="Arial" w:cs="Arial"/>
          <w:color w:val="000000"/>
          <w:sz w:val="20"/>
          <w:szCs w:val="20"/>
        </w:rPr>
      </w:pPr>
      <w:r>
        <w:rPr>
          <w:rFonts w:ascii="Arial" w:hAnsi="Arial" w:cs="Arial"/>
          <w:color w:val="000000"/>
          <w:sz w:val="20"/>
          <w:szCs w:val="20"/>
        </w:rPr>
        <w:t>b) For ease of transition to an alternate system in respect of transactions where cardholders decide to enter the card details manually at the time of undertaking the transaction (commonly referred to as “guest checkout transactions”), the following are being permitted as an </w:t>
      </w:r>
      <w:r>
        <w:rPr>
          <w:rFonts w:ascii="Arial" w:hAnsi="Arial" w:cs="Arial"/>
          <w:color w:val="000000"/>
          <w:sz w:val="20"/>
          <w:szCs w:val="20"/>
          <w:u w:val="single"/>
        </w:rPr>
        <w:t>interim measure</w:t>
      </w:r>
      <w:r>
        <w:rPr>
          <w:rFonts w:ascii="Arial" w:hAnsi="Arial" w:cs="Arial"/>
          <w:color w:val="000000"/>
          <w:sz w:val="20"/>
          <w:szCs w:val="20"/>
        </w:rPr>
        <w:t> –</w:t>
      </w:r>
    </w:p>
    <w:p w:rsidR="00BA0C06" w:rsidRDefault="00BA0C06" w:rsidP="00DA1141">
      <w:pPr>
        <w:pStyle w:val="NormalWeb"/>
        <w:numPr>
          <w:ilvl w:val="0"/>
          <w:numId w:val="6"/>
        </w:numPr>
        <w:ind w:left="0"/>
        <w:rPr>
          <w:rFonts w:ascii="Arial" w:hAnsi="Arial" w:cs="Arial"/>
          <w:color w:val="000000"/>
          <w:sz w:val="20"/>
          <w:szCs w:val="20"/>
        </w:rPr>
      </w:pPr>
      <w:r>
        <w:rPr>
          <w:rFonts w:ascii="Arial" w:hAnsi="Arial" w:cs="Arial"/>
          <w:color w:val="000000"/>
          <w:sz w:val="20"/>
          <w:szCs w:val="20"/>
        </w:rPr>
        <w:t xml:space="preserve">Other than the card issuer and the card network, the merchant or its Payment Aggregator (PA) involved in settlement of such transactions, can save the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for a maximum period of T+4 days (“T” being the transaction date) or till the settlement date, whichever is earlier. This data shall be used only for settlement of such transactions, and must be purged thereafter.</w:t>
      </w:r>
    </w:p>
    <w:p w:rsidR="00BA0C06" w:rsidRDefault="00BA0C06" w:rsidP="00DA1141">
      <w:pPr>
        <w:pStyle w:val="NormalWeb"/>
        <w:numPr>
          <w:ilvl w:val="0"/>
          <w:numId w:val="6"/>
        </w:numPr>
        <w:ind w:left="0"/>
        <w:rPr>
          <w:rFonts w:ascii="Arial" w:hAnsi="Arial" w:cs="Arial"/>
          <w:color w:val="000000"/>
          <w:sz w:val="20"/>
          <w:szCs w:val="20"/>
        </w:rPr>
      </w:pPr>
      <w:r>
        <w:rPr>
          <w:rFonts w:ascii="Arial" w:hAnsi="Arial" w:cs="Arial"/>
          <w:color w:val="000000"/>
          <w:sz w:val="20"/>
          <w:szCs w:val="20"/>
        </w:rPr>
        <w:t xml:space="preserve">For handling other post-transaction activities, acquiring banks can continue to store </w:t>
      </w:r>
      <w:proofErr w:type="spellStart"/>
      <w:r>
        <w:rPr>
          <w:rFonts w:ascii="Arial" w:hAnsi="Arial" w:cs="Arial"/>
          <w:color w:val="000000"/>
          <w:sz w:val="20"/>
          <w:szCs w:val="20"/>
        </w:rPr>
        <w:t>CoF</w:t>
      </w:r>
      <w:proofErr w:type="spellEnd"/>
      <w:r>
        <w:rPr>
          <w:rFonts w:ascii="Arial" w:hAnsi="Arial" w:cs="Arial"/>
          <w:color w:val="000000"/>
          <w:sz w:val="20"/>
          <w:szCs w:val="20"/>
        </w:rPr>
        <w:t xml:space="preserve"> data until January 31, 2023.</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4. Appropriate penal action, including imposition of business restrictions, shall be considered by the RBI in case of any non-compliance.</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5. This directive is issued under Section 10 (2) read with Section 18 of the Payment and Settlement Systems Act, 2007 (Act 51 of 2007).</w:t>
      </w:r>
    </w:p>
    <w:p w:rsidR="00BA0C06" w:rsidRDefault="00BA0C06" w:rsidP="00BA0C06">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Pr>
        <w:rPr>
          <w:rFonts w:ascii="Arial" w:hAnsi="Arial" w:cs="Arial"/>
          <w:sz w:val="20"/>
          <w:szCs w:val="20"/>
        </w:rPr>
      </w:pPr>
    </w:p>
    <w:p w:rsidR="00BA0C06" w:rsidRDefault="00BA0C06" w:rsidP="00BA0C06">
      <w:pPr>
        <w:rPr>
          <w:rFonts w:ascii="Arial" w:hAnsi="Arial" w:cs="Arial"/>
          <w:sz w:val="20"/>
          <w:szCs w:val="20"/>
        </w:rPr>
      </w:pPr>
    </w:p>
    <w:p w:rsidR="00BA0C06" w:rsidRDefault="00BA0C06" w:rsidP="00BA0C06">
      <w:r>
        <w:t>More details can be referred to in the below link.</w:t>
      </w:r>
    </w:p>
    <w:p w:rsidR="00BA0C06" w:rsidRDefault="00BA0C06" w:rsidP="00BA0C06">
      <w:pPr>
        <w:rPr>
          <w:rFonts w:ascii="Arial" w:hAnsi="Arial" w:cs="Arial"/>
          <w:bCs/>
          <w:color w:val="000000"/>
          <w:sz w:val="20"/>
          <w:szCs w:val="20"/>
        </w:rPr>
      </w:pPr>
      <w:r>
        <w:rPr>
          <w:rFonts w:ascii="Arial" w:hAnsi="Arial" w:cs="Arial"/>
          <w:bCs/>
          <w:color w:val="000000"/>
          <w:sz w:val="20"/>
          <w:szCs w:val="20"/>
        </w:rPr>
        <w:t xml:space="preserve">Reference Link: </w:t>
      </w:r>
      <w:hyperlink r:id="rId38" w:history="1">
        <w:r w:rsidRPr="006865D6">
          <w:rPr>
            <w:rStyle w:val="Hyperlink"/>
            <w:rFonts w:ascii="Arial" w:hAnsi="Arial" w:cs="Arial"/>
            <w:bCs/>
            <w:sz w:val="20"/>
            <w:szCs w:val="20"/>
          </w:rPr>
          <w:t>https://www.rbi.org.in/scripts/BS_CircularIndexDisplay.aspx?Id=12363</w:t>
        </w:r>
      </w:hyperlink>
    </w:p>
    <w:p w:rsidR="00BA0C06" w:rsidRPr="00583041" w:rsidRDefault="00BA0C06" w:rsidP="00BA0C06">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Reserve Bank of India</w:t>
      </w: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Foreign Exchange Department</w:t>
      </w: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Central Office</w:t>
      </w: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Mumbai</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Notification No. FEMA.3(R)(3)/2022-RB</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right"/>
        <w:rPr>
          <w:rFonts w:ascii="Arial" w:hAnsi="Arial" w:cs="Arial"/>
          <w:sz w:val="20"/>
          <w:szCs w:val="20"/>
        </w:rPr>
      </w:pPr>
      <w:r w:rsidRPr="00583041">
        <w:rPr>
          <w:rFonts w:ascii="Arial" w:hAnsi="Arial" w:cs="Arial"/>
          <w:sz w:val="20"/>
          <w:szCs w:val="20"/>
        </w:rPr>
        <w:t>July 28, 2022</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1. Short Title &amp; Commencement:</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(i) These Regulations may be called the Foreign Exchange Management (Borrowing and Lending) (Third Amendment) Regulations, 2022.</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2. Amendment to Paragraph 2 of Schedule 1:</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BA0C06" w:rsidRPr="00583041" w:rsidRDefault="00BA0C06" w:rsidP="00BA0C06">
      <w:pPr>
        <w:spacing w:after="0"/>
        <w:jc w:val="both"/>
        <w:rPr>
          <w:rFonts w:ascii="Arial" w:hAnsi="Arial" w:cs="Arial"/>
          <w:sz w:val="20"/>
          <w:szCs w:val="20"/>
        </w:rPr>
      </w:pPr>
    </w:p>
    <w:p w:rsidR="00BA0C06" w:rsidRPr="00583041" w:rsidRDefault="00BA0C06" w:rsidP="00BA0C06">
      <w:pPr>
        <w:spacing w:after="0"/>
        <w:jc w:val="both"/>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p>
    <w:p w:rsidR="00BA0C06" w:rsidRDefault="00BA0C06" w:rsidP="00BA0C06">
      <w:pPr>
        <w:spacing w:after="0"/>
        <w:jc w:val="both"/>
        <w:rPr>
          <w:rFonts w:ascii="Arial" w:hAnsi="Arial" w:cs="Arial"/>
          <w:sz w:val="20"/>
          <w:szCs w:val="20"/>
        </w:rPr>
      </w:pPr>
      <w:r w:rsidRPr="00583041">
        <w:rPr>
          <w:rFonts w:ascii="Arial" w:hAnsi="Arial" w:cs="Arial"/>
          <w:sz w:val="20"/>
          <w:szCs w:val="20"/>
        </w:rPr>
        <w:t>Chief General Manager-in-charge</w:t>
      </w:r>
    </w:p>
    <w:p w:rsidR="00BA0C06" w:rsidRDefault="00BA0C06" w:rsidP="00BA0C06"/>
    <w:p w:rsidR="00BA0C06" w:rsidRDefault="00BA0C06" w:rsidP="00BA0C06"/>
    <w:p w:rsidR="00BA0C06" w:rsidRDefault="00BA0C06" w:rsidP="00BA0C06">
      <w:r>
        <w:t>More details can be referred to in the below link.</w:t>
      </w:r>
    </w:p>
    <w:p w:rsidR="00BA0C06" w:rsidRDefault="00BA0C06" w:rsidP="00BA0C06">
      <w:pPr>
        <w:rPr>
          <w:rFonts w:ascii="Arial" w:hAnsi="Arial" w:cs="Arial"/>
          <w:sz w:val="20"/>
          <w:szCs w:val="20"/>
        </w:rPr>
      </w:pPr>
      <w:r>
        <w:rPr>
          <w:rFonts w:ascii="Arial" w:hAnsi="Arial" w:cs="Arial"/>
          <w:sz w:val="20"/>
          <w:szCs w:val="20"/>
        </w:rPr>
        <w:t xml:space="preserve">Reference Link: </w:t>
      </w:r>
      <w:hyperlink r:id="rId39"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rPr>
          <w:rFonts w:ascii="Arial" w:hAnsi="Arial" w:cs="Arial"/>
          <w:sz w:val="20"/>
          <w:szCs w:val="20"/>
        </w:rPr>
      </w:pPr>
      <w:r>
        <w:rPr>
          <w:rFonts w:ascii="Arial" w:hAnsi="Arial" w:cs="Arial"/>
          <w:b/>
          <w:bCs/>
          <w:color w:val="000000"/>
          <w:sz w:val="20"/>
          <w:szCs w:val="20"/>
        </w:rPr>
        <w:lastRenderedPageBreak/>
        <w:t>Master Circular - Credit facilities to Scheduled Castes (SCs) &amp; Scheduled Tribes (STs)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1,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Madam/ Dear Sir,</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0B7E87" w:rsidRDefault="000B7E87" w:rsidP="000B7E87">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40"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below points.</w:t>
      </w:r>
    </w:p>
    <w:p w:rsidR="000B7E87" w:rsidRPr="00556D17" w:rsidRDefault="000B7E87" w:rsidP="000B7E87">
      <w:pPr>
        <w:pStyle w:val="NormalWeb"/>
        <w:rPr>
          <w:rFonts w:ascii="Arial" w:hAnsi="Arial" w:cs="Arial"/>
          <w:color w:val="000000"/>
          <w:sz w:val="20"/>
          <w:szCs w:val="20"/>
        </w:rPr>
      </w:pPr>
      <w:r w:rsidRPr="00556D17">
        <w:rPr>
          <w:rFonts w:ascii="Arial" w:hAnsi="Arial" w:cs="Arial"/>
          <w:bCs/>
          <w:color w:val="000000"/>
          <w:sz w:val="20"/>
          <w:szCs w:val="20"/>
        </w:rPr>
        <w:t>1. Planning Process</w:t>
      </w:r>
    </w:p>
    <w:p w:rsidR="000B7E87" w:rsidRPr="00556D17" w:rsidRDefault="000B7E87" w:rsidP="000B7E87">
      <w:pPr>
        <w:pStyle w:val="NormalWeb"/>
        <w:rPr>
          <w:rFonts w:ascii="Arial" w:hAnsi="Arial" w:cs="Arial"/>
          <w:bCs/>
          <w:color w:val="000000"/>
          <w:sz w:val="20"/>
          <w:szCs w:val="20"/>
        </w:rPr>
      </w:pPr>
      <w:r w:rsidRPr="00556D17">
        <w:rPr>
          <w:rFonts w:ascii="Arial" w:hAnsi="Arial" w:cs="Arial"/>
          <w:bCs/>
          <w:color w:val="000000"/>
          <w:sz w:val="20"/>
          <w:szCs w:val="20"/>
        </w:rPr>
        <w:t>2. Role of Banks</w:t>
      </w:r>
    </w:p>
    <w:p w:rsidR="000B7E87" w:rsidRPr="00556D17" w:rsidRDefault="000B7E87" w:rsidP="000B7E87">
      <w:pPr>
        <w:pStyle w:val="NormalWeb"/>
        <w:rPr>
          <w:rFonts w:ascii="Arial" w:hAnsi="Arial" w:cs="Arial"/>
          <w:bCs/>
          <w:color w:val="000000"/>
          <w:sz w:val="20"/>
          <w:szCs w:val="20"/>
        </w:rPr>
      </w:pPr>
      <w:r w:rsidRPr="00556D17">
        <w:rPr>
          <w:rFonts w:ascii="Arial" w:hAnsi="Arial" w:cs="Arial"/>
          <w:bCs/>
          <w:color w:val="000000"/>
          <w:sz w:val="20"/>
          <w:szCs w:val="20"/>
        </w:rPr>
        <w:t>3. Role of SC/ST Development Corporations</w:t>
      </w:r>
    </w:p>
    <w:p w:rsidR="000B7E87" w:rsidRPr="00556D17" w:rsidRDefault="000B7E87" w:rsidP="000B7E87">
      <w:pPr>
        <w:pStyle w:val="NormalWeb"/>
        <w:rPr>
          <w:rFonts w:ascii="Arial" w:hAnsi="Arial" w:cs="Arial"/>
          <w:bCs/>
          <w:color w:val="000000"/>
          <w:sz w:val="20"/>
          <w:szCs w:val="20"/>
        </w:rPr>
      </w:pPr>
      <w:r w:rsidRPr="00556D17">
        <w:rPr>
          <w:rFonts w:ascii="Arial" w:hAnsi="Arial" w:cs="Arial"/>
          <w:bCs/>
          <w:color w:val="000000"/>
          <w:sz w:val="20"/>
          <w:szCs w:val="20"/>
        </w:rPr>
        <w:t>4. Reservations for SC/ST beneficiaries under major Centrally Sponsored Schemes.</w:t>
      </w:r>
    </w:p>
    <w:p w:rsidR="000B7E87" w:rsidRPr="00556D17" w:rsidRDefault="000B7E87" w:rsidP="000B7E87">
      <w:pPr>
        <w:pStyle w:val="NormalWeb"/>
        <w:rPr>
          <w:rFonts w:ascii="Arial" w:hAnsi="Arial" w:cs="Arial"/>
          <w:bCs/>
          <w:color w:val="000000"/>
          <w:sz w:val="20"/>
          <w:szCs w:val="20"/>
        </w:rPr>
      </w:pPr>
      <w:r w:rsidRPr="00556D17">
        <w:rPr>
          <w:rFonts w:ascii="Arial" w:hAnsi="Arial" w:cs="Arial"/>
          <w:bCs/>
          <w:color w:val="000000"/>
          <w:sz w:val="20"/>
          <w:szCs w:val="20"/>
        </w:rPr>
        <w:t>5. Credit Enhancement Guarantee Scheme for Scheduled Castes (CEGSSC)</w:t>
      </w:r>
    </w:p>
    <w:p w:rsidR="000B7E87" w:rsidRPr="00556D17" w:rsidRDefault="000B7E87" w:rsidP="000B7E87">
      <w:pPr>
        <w:pStyle w:val="NormalWeb"/>
        <w:rPr>
          <w:rFonts w:ascii="Arial" w:hAnsi="Arial" w:cs="Arial"/>
          <w:bCs/>
          <w:color w:val="000000"/>
          <w:sz w:val="20"/>
          <w:szCs w:val="20"/>
        </w:rPr>
      </w:pPr>
      <w:r w:rsidRPr="00556D17">
        <w:rPr>
          <w:rFonts w:ascii="Arial" w:hAnsi="Arial" w:cs="Arial"/>
          <w:bCs/>
          <w:color w:val="000000"/>
          <w:sz w:val="20"/>
          <w:szCs w:val="20"/>
        </w:rPr>
        <w:t>6. Monitoring and Review</w:t>
      </w:r>
    </w:p>
    <w:p w:rsidR="000B7E87" w:rsidRPr="00556D17" w:rsidRDefault="000B7E87" w:rsidP="000B7E87">
      <w:pPr>
        <w:pStyle w:val="NormalWeb"/>
        <w:rPr>
          <w:rFonts w:ascii="Arial" w:hAnsi="Arial" w:cs="Arial"/>
          <w:color w:val="000000"/>
          <w:sz w:val="20"/>
          <w:szCs w:val="20"/>
        </w:rPr>
      </w:pPr>
      <w:r w:rsidRPr="00556D17">
        <w:rPr>
          <w:rFonts w:ascii="Arial" w:hAnsi="Arial" w:cs="Arial"/>
          <w:bCs/>
          <w:color w:val="000000"/>
          <w:sz w:val="20"/>
          <w:szCs w:val="20"/>
        </w:rPr>
        <w:t>7. Reporting Requirements</w:t>
      </w:r>
    </w:p>
    <w:p w:rsidR="000B7E87" w:rsidRDefault="000B7E87" w:rsidP="000B7E87">
      <w:pPr>
        <w:pStyle w:val="NormalWeb"/>
        <w:rPr>
          <w:rFonts w:ascii="Arial" w:hAnsi="Arial" w:cs="Arial"/>
          <w:color w:val="000000"/>
          <w:sz w:val="20"/>
          <w:szCs w:val="20"/>
        </w:rPr>
      </w:pPr>
      <w:r>
        <w:rPr>
          <w:rFonts w:ascii="Arial" w:hAnsi="Arial" w:cs="Arial"/>
          <w:color w:val="000000"/>
          <w:sz w:val="20"/>
          <w:szCs w:val="20"/>
        </w:rPr>
        <w:t>Yours faithfully,</w:t>
      </w:r>
    </w:p>
    <w:p w:rsidR="000B7E87" w:rsidRDefault="000B7E87" w:rsidP="000B7E8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0B7E87" w:rsidRDefault="000B7E87" w:rsidP="000B7E87">
      <w:pPr>
        <w:rPr>
          <w:rFonts w:ascii="Arial" w:hAnsi="Arial" w:cs="Arial"/>
          <w:sz w:val="20"/>
          <w:szCs w:val="20"/>
        </w:rPr>
      </w:pPr>
    </w:p>
    <w:p w:rsidR="000B7E87" w:rsidRDefault="000B7E87" w:rsidP="000B7E87">
      <w:pPr>
        <w:rPr>
          <w:rFonts w:ascii="Arial" w:hAnsi="Arial" w:cs="Arial"/>
          <w:sz w:val="20"/>
          <w:szCs w:val="20"/>
        </w:rPr>
      </w:pPr>
    </w:p>
    <w:p w:rsidR="000B7E87" w:rsidRDefault="000B7E87" w:rsidP="000B7E87">
      <w:pPr>
        <w:rPr>
          <w:rFonts w:ascii="Arial" w:hAnsi="Arial" w:cs="Arial"/>
          <w:sz w:val="20"/>
          <w:szCs w:val="20"/>
        </w:rPr>
      </w:pPr>
    </w:p>
    <w:p w:rsidR="000B7E87" w:rsidRDefault="000B7E87" w:rsidP="000B7E87">
      <w:r>
        <w:t>More details can be referred to in the below link.</w:t>
      </w:r>
    </w:p>
    <w:p w:rsidR="00BA0C06" w:rsidRDefault="000B7E87" w:rsidP="000B7E87">
      <w:pPr>
        <w:rPr>
          <w:rFonts w:ascii="Arial" w:hAnsi="Arial" w:cs="Arial"/>
          <w:bCs/>
          <w:color w:val="000000"/>
          <w:sz w:val="20"/>
          <w:szCs w:val="20"/>
        </w:rPr>
      </w:pPr>
      <w:r>
        <w:rPr>
          <w:rFonts w:ascii="Arial" w:hAnsi="Arial" w:cs="Arial"/>
          <w:bCs/>
          <w:color w:val="000000"/>
          <w:sz w:val="20"/>
          <w:szCs w:val="20"/>
        </w:rPr>
        <w:t xml:space="preserve">Reference Link: </w:t>
      </w:r>
      <w:hyperlink r:id="rId41" w:history="1">
        <w:r w:rsidRPr="006865D6">
          <w:rPr>
            <w:rStyle w:val="Hyperlink"/>
            <w:rFonts w:ascii="Arial" w:hAnsi="Arial" w:cs="Arial"/>
            <w:bCs/>
            <w:sz w:val="20"/>
            <w:szCs w:val="20"/>
          </w:rPr>
          <w:t>https://www.rbi.org.in/scripts/NotificationUser.aspx?Id=12365&amp;Mode=0</w:t>
        </w:r>
      </w:hyperlink>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Pr="00583041" w:rsidRDefault="00BA0C06" w:rsidP="00BA0C06">
      <w:pPr>
        <w:spacing w:line="240" w:lineRule="auto"/>
        <w:rPr>
          <w:rFonts w:ascii="Arial" w:hAnsi="Arial" w:cs="Arial"/>
          <w:sz w:val="20"/>
          <w:szCs w:val="20"/>
        </w:rPr>
      </w:pPr>
      <w:r w:rsidRPr="00583041">
        <w:rPr>
          <w:rFonts w:ascii="Arial" w:hAnsi="Arial" w:cs="Arial"/>
          <w:b/>
          <w:bCs/>
          <w:sz w:val="20"/>
          <w:szCs w:val="20"/>
        </w:rPr>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BA0C06" w:rsidRPr="00583041" w:rsidTr="00BA0C06">
        <w:trPr>
          <w:jc w:val="center"/>
        </w:trPr>
        <w:tc>
          <w:tcPr>
            <w:tcW w:w="0" w:type="auto"/>
            <w:tcBorders>
              <w:top w:val="nil"/>
              <w:left w:val="nil"/>
              <w:bottom w:val="nil"/>
              <w:right w:val="nil"/>
            </w:tcBorders>
            <w:tcMar>
              <w:top w:w="15" w:type="dxa"/>
              <w:left w:w="45" w:type="dxa"/>
              <w:bottom w:w="15" w:type="dxa"/>
              <w:right w:w="45" w:type="dxa"/>
            </w:tcMar>
            <w:vAlign w:val="center"/>
            <w:hideMark/>
          </w:tcPr>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BA0C06" w:rsidRPr="00583041" w:rsidRDefault="00BA0C06" w:rsidP="00BA0C06">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BA0C06" w:rsidRPr="00583041" w:rsidRDefault="00BA0C06" w:rsidP="00BA0C06">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BA0C06" w:rsidRPr="00583041" w:rsidRDefault="00BA0C06" w:rsidP="00BA0C06">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BA0C06" w:rsidRPr="00CE14AF" w:rsidRDefault="00BA0C06" w:rsidP="00BA0C06">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BA0C06" w:rsidRPr="00583041" w:rsidRDefault="00BA0C06" w:rsidP="00BA0C06">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42"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43"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i) increase the automatic route limit from USD 750 million or equivalent to USD 1.5 billion or equivalent.</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44"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BA0C06" w:rsidRPr="00583041" w:rsidRDefault="00BA0C06" w:rsidP="00BA0C06">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BA0C06" w:rsidRPr="00583041" w:rsidRDefault="00BA0C06" w:rsidP="00BA0C06">
            <w:pPr>
              <w:pStyle w:val="NormalWeb"/>
              <w:spacing w:after="0" w:afterAutospacing="0"/>
              <w:rPr>
                <w:rFonts w:ascii="Arial" w:hAnsi="Arial" w:cs="Arial"/>
                <w:sz w:val="20"/>
                <w:szCs w:val="20"/>
              </w:rPr>
            </w:pPr>
            <w:r w:rsidRPr="00583041">
              <w:rPr>
                <w:rFonts w:ascii="Arial" w:hAnsi="Arial" w:cs="Arial"/>
                <w:sz w:val="20"/>
                <w:szCs w:val="20"/>
              </w:rPr>
              <w:t>Yours faithfully,</w:t>
            </w:r>
          </w:p>
          <w:p w:rsidR="00BA0C06" w:rsidRPr="00583041" w:rsidRDefault="00BA0C06" w:rsidP="00BA0C06">
            <w:pPr>
              <w:pStyle w:val="NormalWeb"/>
              <w:rPr>
                <w:rFonts w:ascii="Arial" w:hAnsi="Arial" w:cs="Arial"/>
                <w:sz w:val="20"/>
                <w:szCs w:val="20"/>
              </w:rPr>
            </w:pPr>
            <w:r w:rsidRPr="00583041">
              <w:rPr>
                <w:rFonts w:ascii="Arial" w:hAnsi="Arial" w:cs="Arial"/>
                <w:sz w:val="20"/>
                <w:szCs w:val="20"/>
              </w:rPr>
              <w:t xml:space="preserve">(Ajay Kumar </w:t>
            </w:r>
            <w:proofErr w:type="spellStart"/>
            <w:r w:rsidRPr="00583041">
              <w:rPr>
                <w:rFonts w:ascii="Arial" w:hAnsi="Arial" w:cs="Arial"/>
                <w:sz w:val="20"/>
                <w:szCs w:val="20"/>
              </w:rPr>
              <w:t>Misra</w:t>
            </w:r>
            <w:proofErr w:type="spellEnd"/>
            <w:r w:rsidRPr="00583041">
              <w:rPr>
                <w:rFonts w:ascii="Arial" w:hAnsi="Arial" w:cs="Arial"/>
                <w:sz w:val="20"/>
                <w:szCs w:val="20"/>
              </w:rPr>
              <w:t>)</w:t>
            </w:r>
            <w:r w:rsidRPr="00583041">
              <w:rPr>
                <w:rFonts w:ascii="Arial" w:hAnsi="Arial" w:cs="Arial"/>
                <w:sz w:val="20"/>
                <w:szCs w:val="20"/>
              </w:rPr>
              <w:br/>
              <w:t>Chief General Manager-in-Charge</w:t>
            </w:r>
          </w:p>
        </w:tc>
      </w:tr>
    </w:tbl>
    <w:p w:rsidR="00BA0C06" w:rsidRDefault="00BA0C06" w:rsidP="00BA0C06"/>
    <w:p w:rsidR="00BA0C06" w:rsidRDefault="00BA0C06" w:rsidP="00BA0C06">
      <w:pPr>
        <w:spacing w:after="0"/>
      </w:pPr>
      <w:r>
        <w:t>More details can be referred to in the below link.</w:t>
      </w:r>
    </w:p>
    <w:p w:rsidR="00BA0C06" w:rsidRDefault="00BA0C06" w:rsidP="00BA0C06">
      <w:pPr>
        <w:rPr>
          <w:rFonts w:ascii="Arial" w:hAnsi="Arial" w:cs="Arial"/>
          <w:sz w:val="20"/>
          <w:szCs w:val="20"/>
        </w:rPr>
      </w:pPr>
      <w:r>
        <w:rPr>
          <w:rFonts w:ascii="Arial" w:hAnsi="Arial" w:cs="Arial"/>
          <w:sz w:val="20"/>
          <w:szCs w:val="20"/>
        </w:rPr>
        <w:t xml:space="preserve">Reference Link: </w:t>
      </w:r>
      <w:hyperlink r:id="rId45" w:history="1">
        <w:r w:rsidRPr="00200311">
          <w:rPr>
            <w:rStyle w:val="Hyperlink"/>
            <w:rFonts w:ascii="Arial" w:hAnsi="Arial" w:cs="Arial"/>
            <w:sz w:val="20"/>
            <w:szCs w:val="20"/>
          </w:rPr>
          <w:t>https://www.rbi.org.in/Scripts/NotificationUser.aspx?Id=12366&amp;Mode=0</w:t>
        </w:r>
      </w:hyperlink>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pStyle w:val="NormalWeb"/>
        <w:rPr>
          <w:rFonts w:ascii="Arial" w:hAnsi="Arial" w:cs="Arial"/>
          <w:color w:val="000000"/>
          <w:sz w:val="20"/>
          <w:szCs w:val="20"/>
        </w:rPr>
      </w:pPr>
      <w:r>
        <w:rPr>
          <w:rFonts w:ascii="Arial" w:hAnsi="Arial" w:cs="Arial"/>
          <w:b/>
          <w:bCs/>
          <w:color w:val="000000"/>
          <w:sz w:val="20"/>
          <w:szCs w:val="20"/>
        </w:rPr>
        <w:t>Master Circular on Credit Facilities to Minority Communities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2,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Madam/ Dear Sir,</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0B7E87" w:rsidRPr="00184108" w:rsidRDefault="000B7E87" w:rsidP="000B7E87">
      <w:pPr>
        <w:pStyle w:val="NoSpacing"/>
      </w:pPr>
      <w:r>
        <w:t>The Reserve Bank of India has periodically issued guidelines/instructions/directives to banks with regard to providing credit facilities to Minority Communities. The </w:t>
      </w:r>
      <w:hyperlink r:id="rId46" w:anchor="MC" w:history="1">
        <w:r>
          <w:rPr>
            <w:rStyle w:val="Hyperlink"/>
            <w:rFonts w:ascii="Arial" w:hAnsi="Arial" w:cs="Arial"/>
            <w:sz w:val="20"/>
            <w:szCs w:val="20"/>
          </w:rPr>
          <w:t>Master Circular</w:t>
        </w:r>
      </w:hyperlink>
      <w:r>
        <w:t> consolidates the circulars issued by Reserve Bank on the subject till date, on the below points:</w:t>
      </w:r>
    </w:p>
    <w:p w:rsidR="000B7E87" w:rsidRDefault="000B7E87" w:rsidP="000B7E87">
      <w:pPr>
        <w:pStyle w:val="NoSpacing"/>
        <w:rPr>
          <w:bCs/>
        </w:rPr>
      </w:pPr>
    </w:p>
    <w:p w:rsidR="000B7E87" w:rsidRPr="00184108" w:rsidRDefault="000B7E87" w:rsidP="000B7E87">
      <w:pPr>
        <w:pStyle w:val="NoSpacing"/>
      </w:pPr>
      <w:r w:rsidRPr="00184108">
        <w:rPr>
          <w:bCs/>
        </w:rPr>
        <w:t>1. Credit Facilities to Minority Communities</w:t>
      </w:r>
    </w:p>
    <w:p w:rsidR="000B7E87" w:rsidRPr="00184108" w:rsidRDefault="000B7E87" w:rsidP="000B7E87">
      <w:pPr>
        <w:pStyle w:val="NoSpacing"/>
      </w:pPr>
      <w:r w:rsidRPr="00184108">
        <w:rPr>
          <w:bCs/>
        </w:rPr>
        <w:t>2. Definition of Minority Communities</w:t>
      </w:r>
    </w:p>
    <w:p w:rsidR="000B7E87" w:rsidRPr="00184108" w:rsidRDefault="000B7E87" w:rsidP="000B7E87">
      <w:pPr>
        <w:pStyle w:val="NoSpacing"/>
      </w:pPr>
      <w:r w:rsidRPr="00184108">
        <w:rPr>
          <w:bCs/>
        </w:rPr>
        <w:t>3. Creation of Special Cell and designating an exclusive Officer</w:t>
      </w:r>
    </w:p>
    <w:p w:rsidR="000B7E87" w:rsidRPr="00184108" w:rsidRDefault="000B7E87" w:rsidP="000B7E87">
      <w:pPr>
        <w:pStyle w:val="NoSpacing"/>
        <w:rPr>
          <w:bCs/>
        </w:rPr>
      </w:pPr>
      <w:r w:rsidRPr="00184108">
        <w:rPr>
          <w:bCs/>
        </w:rPr>
        <w:t>4. Role of Lead Banks</w:t>
      </w:r>
    </w:p>
    <w:p w:rsidR="000B7E87" w:rsidRPr="00184108" w:rsidRDefault="000B7E87" w:rsidP="000B7E87">
      <w:pPr>
        <w:pStyle w:val="NoSpacing"/>
      </w:pPr>
      <w:r w:rsidRPr="00184108">
        <w:rPr>
          <w:bCs/>
        </w:rPr>
        <w:t>5. Advances under DRI Scheme</w:t>
      </w:r>
    </w:p>
    <w:p w:rsidR="000B7E87" w:rsidRPr="00184108" w:rsidRDefault="000B7E87" w:rsidP="000B7E87">
      <w:pPr>
        <w:pStyle w:val="NoSpacing"/>
      </w:pPr>
      <w:r w:rsidRPr="00184108">
        <w:rPr>
          <w:bCs/>
        </w:rPr>
        <w:t>6. Monitoring</w:t>
      </w:r>
    </w:p>
    <w:p w:rsidR="000B7E87" w:rsidRPr="00184108" w:rsidRDefault="000B7E87" w:rsidP="000B7E87">
      <w:pPr>
        <w:pStyle w:val="NoSpacing"/>
      </w:pPr>
      <w:r w:rsidRPr="00184108">
        <w:rPr>
          <w:bCs/>
        </w:rPr>
        <w:t>7. Training</w:t>
      </w:r>
    </w:p>
    <w:p w:rsidR="000B7E87" w:rsidRPr="00184108" w:rsidRDefault="000B7E87" w:rsidP="000B7E87">
      <w:pPr>
        <w:pStyle w:val="NoSpacing"/>
        <w:rPr>
          <w:bCs/>
        </w:rPr>
      </w:pPr>
      <w:r w:rsidRPr="00184108">
        <w:rPr>
          <w:bCs/>
        </w:rPr>
        <w:t>8 Publicity</w:t>
      </w:r>
    </w:p>
    <w:p w:rsidR="000B7E87" w:rsidRPr="00184108" w:rsidRDefault="000B7E87" w:rsidP="000B7E87">
      <w:pPr>
        <w:pStyle w:val="NoSpacing"/>
      </w:pPr>
      <w:r w:rsidRPr="00184108">
        <w:rPr>
          <w:bCs/>
        </w:rPr>
        <w:t>9. National Minorities Development and Finance Corporation (NMDFC)</w:t>
      </w:r>
    </w:p>
    <w:p w:rsidR="000B7E87" w:rsidRPr="00184108" w:rsidRDefault="000B7E87" w:rsidP="000B7E87">
      <w:pPr>
        <w:pStyle w:val="NoSpacing"/>
      </w:pPr>
      <w:r w:rsidRPr="00184108">
        <w:rPr>
          <w:bCs/>
        </w:rPr>
        <w:t>10. Prime Minister’s New 15 Point Programme for the Welfare of Minorities</w:t>
      </w:r>
    </w:p>
    <w:p w:rsidR="000B7E87" w:rsidRDefault="000B7E87" w:rsidP="000B7E87">
      <w:pPr>
        <w:pStyle w:val="NormalWeb"/>
        <w:rPr>
          <w:rFonts w:ascii="Arial" w:hAnsi="Arial" w:cs="Arial"/>
          <w:color w:val="000000"/>
          <w:sz w:val="20"/>
          <w:szCs w:val="20"/>
        </w:rPr>
      </w:pPr>
    </w:p>
    <w:p w:rsidR="000B7E87" w:rsidRDefault="000B7E87" w:rsidP="000B7E87">
      <w:pPr>
        <w:pStyle w:val="NormalWeb"/>
        <w:rPr>
          <w:rFonts w:ascii="Arial" w:hAnsi="Arial" w:cs="Arial"/>
          <w:color w:val="000000"/>
          <w:sz w:val="20"/>
          <w:szCs w:val="20"/>
        </w:rPr>
      </w:pPr>
      <w:r>
        <w:rPr>
          <w:rFonts w:ascii="Arial" w:hAnsi="Arial" w:cs="Arial"/>
          <w:color w:val="000000"/>
          <w:sz w:val="20"/>
          <w:szCs w:val="20"/>
        </w:rPr>
        <w:t>Yours faithfully,</w:t>
      </w:r>
    </w:p>
    <w:p w:rsidR="000B7E87" w:rsidRDefault="000B7E87" w:rsidP="000B7E8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0B7E87" w:rsidRDefault="000B7E87" w:rsidP="000B7E87">
      <w:pPr>
        <w:rPr>
          <w:rFonts w:ascii="Arial" w:hAnsi="Arial" w:cs="Arial"/>
          <w:sz w:val="20"/>
          <w:szCs w:val="20"/>
        </w:rPr>
      </w:pPr>
    </w:p>
    <w:p w:rsidR="000B7E87" w:rsidRDefault="000B7E87" w:rsidP="000B7E87">
      <w:pPr>
        <w:rPr>
          <w:rFonts w:ascii="Arial" w:hAnsi="Arial" w:cs="Arial"/>
          <w:sz w:val="20"/>
          <w:szCs w:val="20"/>
        </w:rPr>
      </w:pPr>
    </w:p>
    <w:p w:rsidR="000B7E87" w:rsidRDefault="000B7E87" w:rsidP="000B7E87">
      <w:r>
        <w:t>More details can be referred to in the below link.</w:t>
      </w:r>
    </w:p>
    <w:p w:rsidR="000B7E87" w:rsidRDefault="000B7E87" w:rsidP="000B7E87">
      <w:pPr>
        <w:rPr>
          <w:rFonts w:ascii="Arial" w:hAnsi="Arial" w:cs="Arial"/>
          <w:bCs/>
          <w:color w:val="000000"/>
          <w:sz w:val="20"/>
          <w:szCs w:val="20"/>
        </w:rPr>
      </w:pPr>
      <w:r>
        <w:rPr>
          <w:rFonts w:ascii="Arial" w:hAnsi="Arial" w:cs="Arial"/>
          <w:bCs/>
          <w:color w:val="000000"/>
          <w:sz w:val="20"/>
          <w:szCs w:val="20"/>
        </w:rPr>
        <w:t xml:space="preserve">Reference Link: </w:t>
      </w:r>
      <w:hyperlink r:id="rId47" w:history="1">
        <w:r w:rsidRPr="006865D6">
          <w:rPr>
            <w:rStyle w:val="Hyperlink"/>
            <w:rFonts w:ascii="Arial" w:hAnsi="Arial" w:cs="Arial"/>
            <w:bCs/>
            <w:sz w:val="20"/>
            <w:szCs w:val="20"/>
          </w:rPr>
          <w:t>https://m.rbi.org.in/scripts/BS_ViewMasCirculardetails.aspx?id=12367</w:t>
        </w:r>
      </w:hyperlink>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jc w:val="both"/>
        <w:rPr>
          <w:rFonts w:ascii="Arial" w:hAnsi="Arial" w:cs="Arial"/>
          <w:b/>
          <w:bCs/>
          <w:color w:val="000000"/>
          <w:sz w:val="20"/>
          <w:szCs w:val="20"/>
        </w:rPr>
      </w:pPr>
    </w:p>
    <w:p w:rsidR="00BA0C06" w:rsidRDefault="00BA0C06" w:rsidP="00BA0C06">
      <w:pPr>
        <w:rPr>
          <w:rFonts w:ascii="Arial" w:hAnsi="Arial" w:cs="Arial"/>
          <w:b/>
          <w:bCs/>
          <w:color w:val="000000"/>
          <w:sz w:val="20"/>
          <w:szCs w:val="20"/>
        </w:rPr>
      </w:pPr>
      <w:r>
        <w:rPr>
          <w:rFonts w:ascii="Arial" w:hAnsi="Arial" w:cs="Arial"/>
          <w:b/>
          <w:bCs/>
          <w:color w:val="000000"/>
          <w:sz w:val="20"/>
          <w:szCs w:val="20"/>
        </w:rPr>
        <w:t>Gold Monetization Scheme (GMS), 2015</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RBI/2022-23/100</w:t>
      </w:r>
      <w:r>
        <w:rPr>
          <w:rFonts w:ascii="Arial" w:hAnsi="Arial" w:cs="Arial"/>
          <w:color w:val="000000"/>
          <w:sz w:val="20"/>
          <w:szCs w:val="20"/>
        </w:rPr>
        <w:br/>
        <w:t>DoR.AUT.REC.58/23.67.001/2022-23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04, 2022</w:t>
      </w:r>
    </w:p>
    <w:p w:rsidR="00BA0C06" w:rsidRDefault="00BA0C06" w:rsidP="00BA0C06">
      <w:pPr>
        <w:pStyle w:val="NormalWeb"/>
        <w:spacing w:after="0" w:afterAutospacing="0"/>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Regional Rural Banks)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Dear Sir/Madam</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Gold Monetization Scheme (GMS), 2015</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In exercise of the powers conferred on the Reserve Bank of India under Section 35A of the Banking Regulation Act, 1949, the RBI makes the following amendments in the Reserve Bank of India (Gold Monetization Scheme, 2015) </w:t>
      </w:r>
      <w:hyperlink r:id="rId48" w:tgtFrame="_blank" w:history="1">
        <w:r>
          <w:rPr>
            <w:rStyle w:val="Hyperlink"/>
            <w:rFonts w:ascii="Arial" w:hAnsi="Arial" w:cs="Arial"/>
            <w:sz w:val="20"/>
            <w:szCs w:val="20"/>
          </w:rPr>
          <w:t>Master Direction No.DBR.IBD.No.45/23.67.003/2015-16 dated October 22, 2015</w:t>
        </w:r>
      </w:hyperlink>
      <w:r>
        <w:rPr>
          <w:rFonts w:ascii="Arial" w:hAnsi="Arial" w:cs="Arial"/>
          <w:color w:val="000000"/>
          <w:sz w:val="20"/>
          <w:szCs w:val="20"/>
        </w:rPr>
        <w:t>, with immediate effect.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2. The existing sub-para 2.2.</w:t>
      </w:r>
      <w:proofErr w:type="gramStart"/>
      <w:r>
        <w:rPr>
          <w:rFonts w:ascii="Arial" w:hAnsi="Arial" w:cs="Arial"/>
          <w:color w:val="000000"/>
          <w:sz w:val="20"/>
          <w:szCs w:val="20"/>
        </w:rPr>
        <w:t>2.(</w:t>
      </w:r>
      <w:proofErr w:type="gramEnd"/>
      <w:r>
        <w:rPr>
          <w:rFonts w:ascii="Arial" w:hAnsi="Arial" w:cs="Arial"/>
          <w:color w:val="000000"/>
          <w:sz w:val="20"/>
          <w:szCs w:val="20"/>
        </w:rPr>
        <w:t>v) stands deleted (and hence the existing sub-paras 2.2.2.(vi) to 2.2.2.(viii) have accordingly been renumbered). The corresponding provisions have been suitably incorporated in sub-para 2.4.i.(a) and 2.4.i.(b).</w:t>
      </w:r>
    </w:p>
    <w:p w:rsidR="00BA0C06" w:rsidRDefault="00BA0C06" w:rsidP="00BA0C06">
      <w:pPr>
        <w:pStyle w:val="NormalWeb"/>
        <w:spacing w:after="0" w:afterAutospacing="0"/>
        <w:rPr>
          <w:rFonts w:ascii="Arial" w:hAnsi="Arial" w:cs="Arial"/>
          <w:color w:val="000000"/>
          <w:sz w:val="20"/>
          <w:szCs w:val="20"/>
        </w:rPr>
      </w:pPr>
      <w:r>
        <w:rPr>
          <w:rFonts w:ascii="Arial" w:hAnsi="Arial" w:cs="Arial"/>
          <w:color w:val="000000"/>
          <w:sz w:val="20"/>
          <w:szCs w:val="20"/>
        </w:rPr>
        <w:t>3. The sub-para 2.2.</w:t>
      </w:r>
      <w:proofErr w:type="gramStart"/>
      <w:r>
        <w:rPr>
          <w:rFonts w:ascii="Arial" w:hAnsi="Arial" w:cs="Arial"/>
          <w:color w:val="000000"/>
          <w:sz w:val="20"/>
          <w:szCs w:val="20"/>
        </w:rPr>
        <w:t>2.(</w:t>
      </w:r>
      <w:proofErr w:type="gramEnd"/>
      <w:r>
        <w:rPr>
          <w:rFonts w:ascii="Arial" w:hAnsi="Arial" w:cs="Arial"/>
          <w:color w:val="000000"/>
          <w:sz w:val="20"/>
          <w:szCs w:val="20"/>
        </w:rPr>
        <w:t>vii) has been amended to read as follows:</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“Central Government has decided that with effect from November 5, 2016, designated banks will be paid handling charges (including gold purity testing, refining, transportation, storage and any other relevant costs) for a new MLTGD at a flat rate of 1.5% and commission at the rate of 1% of the rupee equivalent of the amount of gold mobilized under the scheme until further notice. In case of renewal of deposits, as banks will not incur any expenses on purity testing, refining, transportation, storage and insurance etc., the banks will only be given a fixed commission of 1% of the rupee equivalent of the amount of gold on the date of renewal towards their administrative and account maintenance cost.”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4. A new sub-para 2.4 has been inserted (and hence the existing sub-paras 2.4 to 2.10 have accordingly been renumbered) which reads as follows -</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Guidelines for Renewal/Redemption of MLTGD</w:t>
      </w:r>
    </w:p>
    <w:p w:rsidR="00BA0C06" w:rsidRPr="00A410BB" w:rsidRDefault="00BA0C06" w:rsidP="00BA0C06">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 General</w:t>
      </w:r>
    </w:p>
    <w:p w:rsidR="00BA0C06" w:rsidRPr="00A410BB" w:rsidRDefault="00BA0C06" w:rsidP="00BA0C06">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 Redemption in Gold</w:t>
      </w:r>
    </w:p>
    <w:p w:rsidR="00BA0C06" w:rsidRPr="00A410BB" w:rsidRDefault="00BA0C06" w:rsidP="00BA0C06">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iii. Redemption in INR – Modalities</w:t>
      </w:r>
    </w:p>
    <w:p w:rsidR="00BA0C06" w:rsidRPr="00A410BB" w:rsidRDefault="00BA0C06" w:rsidP="00BA0C06">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iv. Renewal of Deposit – Modalities</w:t>
      </w:r>
    </w:p>
    <w:p w:rsidR="00BA0C06" w:rsidRPr="00A410BB" w:rsidRDefault="00BA0C06" w:rsidP="00BA0C06">
      <w:pPr>
        <w:pStyle w:val="head"/>
        <w:spacing w:before="0" w:beforeAutospacing="0"/>
        <w:rPr>
          <w:rFonts w:ascii="Arial" w:hAnsi="Arial" w:cs="Arial"/>
          <w:bCs/>
          <w:color w:val="000000"/>
          <w:sz w:val="20"/>
          <w:szCs w:val="20"/>
        </w:rPr>
      </w:pPr>
      <w:r w:rsidRPr="00A410BB">
        <w:rPr>
          <w:rFonts w:ascii="Arial" w:hAnsi="Arial" w:cs="Arial"/>
          <w:bCs/>
          <w:color w:val="000000"/>
          <w:sz w:val="20"/>
          <w:szCs w:val="20"/>
        </w:rPr>
        <w:t>v. Partial Renewal and Partial Redemption in gold/INR – Modalities</w:t>
      </w:r>
    </w:p>
    <w:p w:rsidR="00BA0C06" w:rsidRDefault="00BA0C06" w:rsidP="00BA0C06">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Pr>
        <w:pStyle w:val="NormalWeb"/>
        <w:rPr>
          <w:rFonts w:ascii="Arial" w:hAnsi="Arial" w:cs="Arial"/>
          <w:color w:val="000000"/>
          <w:sz w:val="20"/>
          <w:szCs w:val="20"/>
        </w:rPr>
      </w:pPr>
    </w:p>
    <w:p w:rsidR="00BA0C06" w:rsidRDefault="00BA0C06" w:rsidP="00BA0C06">
      <w:r>
        <w:t>More details can be referred to in the below link.</w:t>
      </w:r>
    </w:p>
    <w:p w:rsidR="00BA0C06" w:rsidRDefault="00BA0C06" w:rsidP="00BA0C0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9" w:history="1">
        <w:r w:rsidRPr="006865D6">
          <w:rPr>
            <w:rStyle w:val="Hyperlink"/>
            <w:rFonts w:ascii="Arial" w:hAnsi="Arial" w:cs="Arial"/>
            <w:bCs/>
            <w:sz w:val="20"/>
            <w:szCs w:val="20"/>
          </w:rPr>
          <w:t>https://www.rbi.org.in/scripts/NotificationUser.aspx?Id=12368&amp;Mode=0</w:t>
        </w:r>
      </w:hyperlink>
    </w:p>
    <w:p w:rsidR="00BA0C06" w:rsidRDefault="00BA0C06" w:rsidP="00BA0C06">
      <w:pPr>
        <w:jc w:val="both"/>
        <w:rPr>
          <w:rFonts w:ascii="Arial" w:hAnsi="Arial" w:cs="Arial"/>
          <w:b/>
          <w:bCs/>
          <w:color w:val="000000"/>
          <w:sz w:val="20"/>
          <w:szCs w:val="20"/>
        </w:rPr>
      </w:pPr>
    </w:p>
    <w:p w:rsidR="00BA0C06" w:rsidRDefault="00BA0C06" w:rsidP="00BA0C06">
      <w:pPr>
        <w:pStyle w:val="NormalWeb"/>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EXECUTIVE DIRECTOR</w:t>
      </w:r>
    </w:p>
    <w:p w:rsidR="00BA0C06" w:rsidRDefault="00BA0C06" w:rsidP="00BA0C06">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BA0C06" w:rsidRDefault="00BA0C06" w:rsidP="00BA0C06">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BA0C06" w:rsidRDefault="00BA0C06" w:rsidP="00BA0C06">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BA0C06" w:rsidRDefault="00BA0C06" w:rsidP="00BA0C06">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5,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50"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w:t>
      </w:r>
      <w:bookmarkStart w:id="0" w:name="_GoBack"/>
      <w:bookmarkEnd w:id="0"/>
      <w:r>
        <w:rPr>
          <w:rFonts w:ascii="Arial" w:hAnsi="Arial" w:cs="Arial"/>
          <w:color w:val="000000"/>
          <w:sz w:val="20"/>
          <w:szCs w:val="20"/>
        </w:rPr>
        <w:t>nies, hereby directs that the ‘Credit Information Company’ as defined in the Credit Information Companies (Regulation) Act, 2005, shall also be treated as a ‘Regulated Entity’ for the purpose of the Scheme.</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51" w:tgtFrame="_blank" w:history="1">
        <w:r>
          <w:rPr>
            <w:rStyle w:val="Hyperlink"/>
            <w:rFonts w:ascii="Arial" w:hAnsi="Arial" w:cs="Arial"/>
            <w:sz w:val="20"/>
            <w:szCs w:val="20"/>
          </w:rPr>
          <w:t>annexed</w:t>
        </w:r>
      </w:hyperlink>
      <w:r>
        <w:rPr>
          <w:rFonts w:ascii="Arial" w:hAnsi="Arial" w:cs="Arial"/>
          <w:color w:val="000000"/>
          <w:sz w:val="20"/>
          <w:szCs w:val="20"/>
        </w:rPr>
        <w:t>.</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(Anil Kumar Sharma)</w:t>
      </w:r>
    </w:p>
    <w:p w:rsidR="00BA0C06" w:rsidRDefault="00BA0C06" w:rsidP="00BA0C06">
      <w:pPr>
        <w:pStyle w:val="NormalWeb"/>
        <w:rPr>
          <w:rFonts w:ascii="Arial" w:hAnsi="Arial" w:cs="Arial"/>
          <w:color w:val="000000"/>
          <w:sz w:val="20"/>
          <w:szCs w:val="20"/>
        </w:rPr>
      </w:pPr>
    </w:p>
    <w:p w:rsidR="00BA0C06" w:rsidRDefault="00BA0C06" w:rsidP="00BA0C06">
      <w:pPr>
        <w:pStyle w:val="NormalWeb"/>
        <w:rPr>
          <w:rFonts w:ascii="Arial" w:hAnsi="Arial" w:cs="Arial"/>
          <w:color w:val="000000"/>
          <w:sz w:val="20"/>
          <w:szCs w:val="20"/>
        </w:rPr>
      </w:pPr>
    </w:p>
    <w:p w:rsidR="00BA0C06" w:rsidRDefault="00BA0C06" w:rsidP="00BA0C06">
      <w:pPr>
        <w:pStyle w:val="NormalWeb"/>
        <w:rPr>
          <w:rFonts w:ascii="Arial" w:hAnsi="Arial" w:cs="Arial"/>
          <w:color w:val="000000"/>
          <w:sz w:val="20"/>
          <w:szCs w:val="20"/>
        </w:rPr>
      </w:pPr>
    </w:p>
    <w:p w:rsidR="00BA0C06" w:rsidRDefault="00BA0C06" w:rsidP="00BA0C06">
      <w:r>
        <w:t>More details can be referred to in the below link.</w:t>
      </w:r>
    </w:p>
    <w:p w:rsidR="00BA0C06" w:rsidRDefault="00BA0C06" w:rsidP="00BA0C06">
      <w:pPr>
        <w:rPr>
          <w:rFonts w:ascii="Arial" w:hAnsi="Arial" w:cs="Arial"/>
          <w:bCs/>
          <w:color w:val="000000"/>
          <w:sz w:val="20"/>
          <w:szCs w:val="20"/>
        </w:rPr>
      </w:pPr>
      <w:r>
        <w:rPr>
          <w:rFonts w:ascii="Arial" w:hAnsi="Arial" w:cs="Arial"/>
          <w:bCs/>
          <w:color w:val="000000"/>
          <w:sz w:val="20"/>
          <w:szCs w:val="20"/>
        </w:rPr>
        <w:t xml:space="preserve">Reference Link: </w:t>
      </w:r>
      <w:hyperlink r:id="rId52" w:history="1">
        <w:r w:rsidRPr="006865D6">
          <w:rPr>
            <w:rStyle w:val="Hyperlink"/>
            <w:rFonts w:ascii="Arial" w:hAnsi="Arial" w:cs="Arial"/>
            <w:bCs/>
            <w:sz w:val="20"/>
            <w:szCs w:val="20"/>
          </w:rPr>
          <w:t>https://www.rbi.org.in/Scripts/NotificationUser.aspx?Id=12371&amp;Mode=0</w:t>
        </w:r>
      </w:hyperlink>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8, 2022</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Madam/ Dear Sir,</w:t>
      </w:r>
    </w:p>
    <w:p w:rsidR="00BA0C06" w:rsidRDefault="00BA0C06" w:rsidP="00BA0C06">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3"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54"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55"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56"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 w:rsidR="00BA0C06" w:rsidRDefault="00BA0C06" w:rsidP="00BA0C06"/>
    <w:p w:rsidR="00BA0C06" w:rsidRDefault="00BA0C06" w:rsidP="00BA0C06">
      <w:r>
        <w:t>More details can be referred to in the below link.</w:t>
      </w:r>
    </w:p>
    <w:p w:rsidR="00BA0C06" w:rsidRDefault="00BA0C06" w:rsidP="00BA0C06">
      <w:pPr>
        <w:rPr>
          <w:rFonts w:ascii="Arial" w:hAnsi="Arial" w:cs="Arial"/>
          <w:sz w:val="20"/>
          <w:szCs w:val="20"/>
        </w:rPr>
      </w:pPr>
      <w:r>
        <w:rPr>
          <w:rFonts w:ascii="Arial" w:hAnsi="Arial" w:cs="Arial"/>
          <w:sz w:val="20"/>
          <w:szCs w:val="20"/>
        </w:rPr>
        <w:t xml:space="preserve">Reference Link: </w:t>
      </w:r>
      <w:hyperlink r:id="rId57"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BA0C06" w:rsidRDefault="00BA0C06" w:rsidP="00BA0C06"/>
    <w:p w:rsidR="00BA0C06" w:rsidRDefault="00BA0C06" w:rsidP="00BA0C06"/>
    <w:p w:rsidR="00BA0C06" w:rsidRDefault="00BA0C06" w:rsidP="00BA0C06"/>
    <w:p w:rsidR="00BA0C06" w:rsidRDefault="00BA0C06" w:rsidP="00BA0C06"/>
    <w:p w:rsidR="00BA0C06" w:rsidRDefault="00BA0C06" w:rsidP="00BA0C06"/>
    <w:p w:rsidR="00BA0C06" w:rsidRDefault="00BA0C06" w:rsidP="00BA0C06"/>
    <w:p w:rsidR="00BA0C06" w:rsidRDefault="00BA0C06" w:rsidP="00BA0C06">
      <w:pPr>
        <w:rPr>
          <w:rFonts w:ascii="Arial" w:hAnsi="Arial" w:cs="Arial"/>
          <w:bCs/>
          <w:color w:val="000000"/>
          <w:sz w:val="20"/>
          <w:szCs w:val="20"/>
        </w:rPr>
      </w:pPr>
    </w:p>
    <w:p w:rsidR="00BA0C06" w:rsidRDefault="00BA0C06" w:rsidP="00BA0C06">
      <w:pP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BA0C06" w:rsidRDefault="00BA0C06" w:rsidP="00BA0C06">
      <w:pPr>
        <w:pStyle w:val="NormalWeb"/>
        <w:jc w:val="right"/>
        <w:rPr>
          <w:rFonts w:ascii="Arial" w:hAnsi="Arial" w:cs="Arial"/>
          <w:color w:val="000000"/>
          <w:sz w:val="20"/>
          <w:szCs w:val="20"/>
        </w:rPr>
      </w:pPr>
      <w:r>
        <w:rPr>
          <w:rFonts w:ascii="Arial" w:hAnsi="Arial" w:cs="Arial"/>
          <w:color w:val="000000"/>
          <w:sz w:val="20"/>
          <w:szCs w:val="20"/>
        </w:rPr>
        <w:t>August 08, 2022</w:t>
      </w:r>
    </w:p>
    <w:p w:rsidR="00BA0C06" w:rsidRDefault="00BA0C06" w:rsidP="00BA0C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BA0C06" w:rsidRDefault="00BA0C06" w:rsidP="00BA0C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BA0C06" w:rsidRDefault="00BA0C06" w:rsidP="00BA0C0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BA0C06" w:rsidRDefault="00BA0C06" w:rsidP="00BA0C06">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58"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59"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60"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61"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BA0C06" w:rsidRDefault="00BA0C06" w:rsidP="00BA0C06">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62"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Yours faithfully,</w:t>
      </w:r>
    </w:p>
    <w:p w:rsidR="00BA0C06" w:rsidRDefault="00BA0C06" w:rsidP="00BA0C06">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BA0C06" w:rsidRDefault="00BA0C06" w:rsidP="00BA0C06"/>
    <w:p w:rsidR="00BA0C06" w:rsidRDefault="00BA0C06" w:rsidP="00BA0C06"/>
    <w:p w:rsidR="00BA0C06" w:rsidRDefault="00BA0C06" w:rsidP="00BA0C06"/>
    <w:p w:rsidR="00BA0C06" w:rsidRDefault="00BA0C06" w:rsidP="00BA0C06"/>
    <w:p w:rsidR="00BA0C06" w:rsidRDefault="00BA0C06" w:rsidP="00BA0C06">
      <w:r>
        <w:t>More details can be referred to in the below link.</w:t>
      </w:r>
    </w:p>
    <w:p w:rsidR="00BA0C06" w:rsidRDefault="00BA0C06" w:rsidP="00BA0C06">
      <w:pPr>
        <w:rPr>
          <w:rFonts w:ascii="Arial" w:hAnsi="Arial" w:cs="Arial"/>
          <w:sz w:val="20"/>
          <w:szCs w:val="20"/>
        </w:rPr>
      </w:pPr>
      <w:r>
        <w:rPr>
          <w:rFonts w:ascii="Arial" w:hAnsi="Arial" w:cs="Arial"/>
          <w:sz w:val="20"/>
          <w:szCs w:val="20"/>
        </w:rPr>
        <w:t xml:space="preserve">Reference Link: </w:t>
      </w:r>
      <w:hyperlink r:id="rId63" w:history="1">
        <w:r w:rsidRPr="00200311">
          <w:rPr>
            <w:rStyle w:val="Hyperlink"/>
            <w:rFonts w:ascii="Arial" w:hAnsi="Arial" w:cs="Arial"/>
            <w:sz w:val="20"/>
            <w:szCs w:val="20"/>
          </w:rPr>
          <w:t>https://m.rbi.org.in/scripts/FS_Notification.aspx?Id=12374&amp;fn=6&amp;Mode=0</w:t>
        </w:r>
      </w:hyperlink>
    </w:p>
    <w:p w:rsidR="00BA0C06" w:rsidRDefault="00BA0C06" w:rsidP="00BA0C06">
      <w:pPr>
        <w:rPr>
          <w:rFonts w:ascii="Arial" w:hAnsi="Arial" w:cs="Arial"/>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BA0C06" w:rsidRDefault="00BA0C06" w:rsidP="00BA0C06">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Section 23 of the Banking Regulation Act, 1949 (As Applicable to Co-operative Societies) – Opening of new place of business by District Central Co-operative Banks (DCCBs)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RBI/2022-23/106</w:t>
      </w:r>
      <w:r>
        <w:rPr>
          <w:rFonts w:ascii="Arial" w:hAnsi="Arial" w:cs="Arial"/>
          <w:color w:val="000000"/>
          <w:sz w:val="20"/>
          <w:szCs w:val="20"/>
        </w:rPr>
        <w:br/>
        <w:t>DOR.REG.No.63/19.51.052/2022-23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August 11,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All District Central Co-operative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Madam/Sir,</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Section 23 of the Banking Regulation Act, 1949 (As Applicable to Co-operative Societies) – Opening of new place of business by District Central Co-operative Banks (DCCBs)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it has been decided to issue guidelines with details of the criteria and procedure for submission of application by DCCBs for opening new place of business/installation of ATMs.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The criteria for opening of branches/extension counters/specialized branches/regional offices/zonal offices/administrative offices/shifting of branches/upgradation of extension counters into full-fledged branches by a DCCB are as follows:</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A licensed DCCB should have completed at least three years of operation</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CRAR not being less than 9 per cent</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No default in maintenance of CRR/SLR during the preceding financial year</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Net NPA being less than 5 per cent</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The bank should have made a net profit during the preceding two financial years</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The bank should have a good track record of regulatory compliance and no monetary penalty should have been imposed on the bank for violation of Reserve Bank of India directives/guidelines during last two financial years</w:t>
      </w:r>
    </w:p>
    <w:p w:rsidR="0001090D" w:rsidRDefault="0001090D" w:rsidP="00DA1141">
      <w:pPr>
        <w:pStyle w:val="NormalWeb"/>
        <w:numPr>
          <w:ilvl w:val="0"/>
          <w:numId w:val="7"/>
        </w:numPr>
        <w:ind w:left="0"/>
        <w:jc w:val="both"/>
        <w:rPr>
          <w:rFonts w:ascii="Arial" w:hAnsi="Arial" w:cs="Arial"/>
          <w:color w:val="000000"/>
          <w:sz w:val="20"/>
          <w:szCs w:val="20"/>
        </w:rPr>
      </w:pPr>
      <w:r>
        <w:rPr>
          <w:rFonts w:ascii="Arial" w:hAnsi="Arial" w:cs="Arial"/>
          <w:color w:val="000000"/>
          <w:sz w:val="20"/>
          <w:szCs w:val="20"/>
        </w:rPr>
        <w:t>The bank should not have been placed under any specific direction issued by Reserve Bank of India during the preceding two financial years</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The above parameters will be considered as they appear in the latest inspection report of NABARD.</w:t>
      </w:r>
    </w:p>
    <w:p w:rsidR="0001090D" w:rsidRDefault="0001090D" w:rsidP="0001090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r>
        <w:t>More details can be referred to in the below link.</w:t>
      </w:r>
    </w:p>
    <w:p w:rsidR="0001090D" w:rsidRDefault="0001090D" w:rsidP="0001090D">
      <w:pPr>
        <w:rPr>
          <w:rFonts w:ascii="Arial" w:hAnsi="Arial" w:cs="Arial"/>
          <w:bCs/>
          <w:color w:val="000000"/>
          <w:sz w:val="20"/>
          <w:szCs w:val="20"/>
        </w:rPr>
      </w:pPr>
      <w:r>
        <w:rPr>
          <w:rFonts w:ascii="Arial" w:hAnsi="Arial" w:cs="Arial"/>
          <w:bCs/>
          <w:color w:val="000000"/>
          <w:sz w:val="20"/>
          <w:szCs w:val="20"/>
        </w:rPr>
        <w:t xml:space="preserve">Reference Link: </w:t>
      </w:r>
      <w:hyperlink r:id="rId64" w:history="1">
        <w:r w:rsidRPr="00735218">
          <w:rPr>
            <w:rStyle w:val="Hyperlink"/>
            <w:rFonts w:ascii="Arial" w:hAnsi="Arial" w:cs="Arial"/>
            <w:bCs/>
            <w:sz w:val="20"/>
            <w:szCs w:val="20"/>
          </w:rPr>
          <w:t>https://www.rbi.org.in/scripts/NotificationUser.aspx?Id=12375&amp;Mode=0</w:t>
        </w:r>
      </w:hyperlink>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BA0C06" w:rsidRDefault="00BA0C06" w:rsidP="00BA0C06">
      <w:pPr>
        <w:rPr>
          <w:rFonts w:ascii="Arial" w:hAnsi="Arial" w:cs="Arial"/>
          <w:bCs/>
          <w:color w:val="000000"/>
          <w:sz w:val="20"/>
          <w:szCs w:val="20"/>
        </w:rPr>
      </w:pPr>
    </w:p>
    <w:p w:rsidR="0001090D" w:rsidRDefault="0001090D" w:rsidP="00BA0C06">
      <w:pPr>
        <w:rPr>
          <w:rFonts w:ascii="Arial" w:hAnsi="Arial" w:cs="Arial"/>
          <w:bCs/>
          <w:color w:val="000000"/>
          <w:sz w:val="20"/>
          <w:szCs w:val="20"/>
        </w:rPr>
      </w:pPr>
    </w:p>
    <w:p w:rsidR="0001090D" w:rsidRDefault="0001090D" w:rsidP="00BA0C06">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RBI/2022-23/107</w:t>
      </w:r>
      <w:r>
        <w:rPr>
          <w:rFonts w:ascii="Arial" w:hAnsi="Arial" w:cs="Arial"/>
          <w:color w:val="000000"/>
          <w:sz w:val="20"/>
          <w:szCs w:val="20"/>
        </w:rPr>
        <w:br/>
        <w:t>DOR.MRG.REC.64/00-00-005/2022-23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August 11,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Dear Sir / Madam,</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5" w:tgtFrame="_blank" w:history="1">
        <w:r>
          <w:rPr>
            <w:rStyle w:val="Hyperlink"/>
            <w:rFonts w:ascii="Arial" w:hAnsi="Arial" w:cs="Arial"/>
            <w:sz w:val="20"/>
            <w:szCs w:val="20"/>
          </w:rPr>
          <w:t>circular DOR.CAP.51/21.06.201/2020-21 dated March 30, 2021</w:t>
        </w:r>
      </w:hyperlink>
      <w:r>
        <w:rPr>
          <w:rFonts w:ascii="Arial" w:hAnsi="Arial" w:cs="Arial"/>
          <w:color w:val="000000"/>
          <w:sz w:val="20"/>
          <w:szCs w:val="20"/>
        </w:rPr>
        <w:t> and </w:t>
      </w:r>
      <w:hyperlink r:id="rId66" w:tgtFrame="_blank" w:history="1">
        <w:r>
          <w:rPr>
            <w:rStyle w:val="Hyperlink"/>
            <w:rFonts w:ascii="Arial" w:hAnsi="Arial" w:cs="Arial"/>
            <w:sz w:val="20"/>
            <w:szCs w:val="20"/>
          </w:rPr>
          <w:t>circular DOR.CAP.REC.No.97/21.06.201/2021-22 dated March 31, 2022</w:t>
        </w:r>
      </w:hyperlink>
      <w:r>
        <w:rPr>
          <w:rFonts w:ascii="Arial" w:hAnsi="Arial" w:cs="Arial"/>
          <w:color w:val="000000"/>
          <w:sz w:val="20"/>
          <w:szCs w:val="20"/>
        </w:rPr>
        <w:t> on the captioned subject.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At present, while computing capital requirements for counterparty credit risk, the following exposures, wherever allowed to be undertaken, are exempted or capped:</w:t>
      </w:r>
    </w:p>
    <w:p w:rsidR="0001090D" w:rsidRDefault="0001090D" w:rsidP="00DA1141">
      <w:pPr>
        <w:pStyle w:val="NormalWeb"/>
        <w:numPr>
          <w:ilvl w:val="0"/>
          <w:numId w:val="8"/>
        </w:numPr>
        <w:ind w:left="0"/>
        <w:jc w:val="both"/>
        <w:rPr>
          <w:rFonts w:ascii="Arial" w:hAnsi="Arial" w:cs="Arial"/>
          <w:color w:val="000000"/>
          <w:sz w:val="20"/>
          <w:szCs w:val="20"/>
        </w:rPr>
      </w:pPr>
      <w:r>
        <w:rPr>
          <w:rFonts w:ascii="Arial" w:hAnsi="Arial" w:cs="Arial"/>
          <w:color w:val="000000"/>
          <w:sz w:val="20"/>
          <w:szCs w:val="20"/>
        </w:rPr>
        <w:t>foreign exchange (except gold) contracts which have an original maturity of 14 calendar days or less are excluded from capital requirements for counterparty credit risk.</w:t>
      </w:r>
    </w:p>
    <w:p w:rsidR="0001090D" w:rsidRDefault="0001090D" w:rsidP="00DA1141">
      <w:pPr>
        <w:pStyle w:val="NormalWeb"/>
        <w:numPr>
          <w:ilvl w:val="0"/>
          <w:numId w:val="8"/>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are excluded from capital requirements for counterparty credit risk.</w:t>
      </w:r>
    </w:p>
    <w:p w:rsidR="0001090D" w:rsidRDefault="0001090D" w:rsidP="00DA1141">
      <w:pPr>
        <w:pStyle w:val="NormalWeb"/>
        <w:numPr>
          <w:ilvl w:val="0"/>
          <w:numId w:val="8"/>
        </w:numPr>
        <w:ind w:left="0"/>
        <w:jc w:val="both"/>
        <w:rPr>
          <w:rFonts w:ascii="Arial" w:hAnsi="Arial" w:cs="Arial"/>
          <w:color w:val="000000"/>
          <w:sz w:val="20"/>
          <w:szCs w:val="20"/>
        </w:rPr>
      </w:pPr>
      <w:r>
        <w:rPr>
          <w:rFonts w:ascii="Arial" w:hAnsi="Arial" w:cs="Arial"/>
          <w:color w:val="000000"/>
          <w:sz w:val="20"/>
          <w:szCs w:val="20"/>
        </w:rPr>
        <w:t>For Credit Default Swap transaction where bank is protection seller, the exposure is capped at the amount of premium unpaid by the protection buyer.</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3. We have received queries from regulated entities (REs) regarding the applicability of the above exemptions / caps under the Bilateral Netting framework. In this connection, it is clarified that:</w:t>
      </w:r>
    </w:p>
    <w:p w:rsidR="0001090D" w:rsidRDefault="0001090D" w:rsidP="00DA1141">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the exemption for foreign exchange (except gold) contracts which have an original maturity of 14 calendar days or less shall be applicable to entities calculating the counterparty credit risk under Original Exposure Method without taking the benefit of bilateral netting. Accordingly, the exemption would be applicable only to Regional Rural Banks, Local Area Banks and Co-operative Banks, where the bank has not adopted the bilateral netting framework. For other entities, the exemption shall stand withdrawn.</w:t>
      </w:r>
    </w:p>
    <w:p w:rsidR="0001090D" w:rsidRDefault="0001090D" w:rsidP="00DA1141">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can be excluded only when such ‘sold options’ are outside the netting and margin agreements.</w:t>
      </w:r>
    </w:p>
    <w:p w:rsidR="0001090D" w:rsidRDefault="0001090D" w:rsidP="00DA1141">
      <w:pPr>
        <w:pStyle w:val="NormalWeb"/>
        <w:numPr>
          <w:ilvl w:val="0"/>
          <w:numId w:val="9"/>
        </w:numPr>
        <w:ind w:left="0"/>
        <w:jc w:val="both"/>
        <w:rPr>
          <w:rFonts w:ascii="Arial" w:hAnsi="Arial" w:cs="Arial"/>
          <w:color w:val="000000"/>
          <w:sz w:val="20"/>
          <w:szCs w:val="20"/>
        </w:rPr>
      </w:pPr>
      <w:r>
        <w:rPr>
          <w:rFonts w:ascii="Arial" w:hAnsi="Arial" w:cs="Arial"/>
          <w:color w:val="000000"/>
          <w:sz w:val="20"/>
          <w:szCs w:val="20"/>
        </w:rPr>
        <w:t>For Credit Default Swaps where the bank is the protection seller and that are outside netting and margin agreements, the exposure may be capped to the amount of premium unpaid. Banks have the option to remove such credit derivatives from their legal netting sets in order to apply the cap.</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r>
        <w:t>More details can be referred to in the below link.</w:t>
      </w:r>
    </w:p>
    <w:p w:rsidR="0001090D" w:rsidRDefault="0001090D" w:rsidP="0001090D">
      <w:pPr>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735218">
          <w:rPr>
            <w:rStyle w:val="Hyperlink"/>
            <w:rFonts w:ascii="Arial" w:hAnsi="Arial" w:cs="Arial"/>
            <w:bCs/>
            <w:sz w:val="20"/>
            <w:szCs w:val="20"/>
          </w:rPr>
          <w:t>https://www.rbi.org.in/Scripts/NotificationUser.aspx?Id=12376&amp;Mode=0</w:t>
        </w:r>
      </w:hyperlink>
    </w:p>
    <w:p w:rsidR="0001090D" w:rsidRDefault="0001090D" w:rsidP="0001090D">
      <w:pPr>
        <w:rPr>
          <w:rFonts w:ascii="Arial" w:hAnsi="Arial" w:cs="Arial"/>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RBI/2022-23/108</w:t>
      </w:r>
      <w:r>
        <w:rPr>
          <w:rFonts w:ascii="Arial" w:hAnsi="Arial" w:cs="Arial"/>
          <w:color w:val="000000"/>
          <w:sz w:val="20"/>
          <w:szCs w:val="20"/>
        </w:rPr>
        <w:br/>
        <w:t>DOR.ORG.REC.65/21.04.158/2022-23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August 12,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 Sir,</w:t>
      </w:r>
    </w:p>
    <w:p w:rsidR="0001090D" w:rsidRDefault="0001090D" w:rsidP="0001090D">
      <w:pPr>
        <w:pStyle w:val="head"/>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The Reserve Bank of India has from time to time advised regulated entities (REs) that the ultimate responsibility for their outsourced activities vests with them and they are, therefore, responsible for the actions of their service providers including Recovery Agents (hereafter referred to as ‘agents’).</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2. It has been observed that the agents employed by REs have been deviating from the extant instructions governing the outsourcing of financial services. In view of concerns arising from the activities of these agents, it is advised that the REs shall strictly ensure that they or their agents do not resort to intimidation or harassment of any kind, either verbal or physical, against any person in their debt collection efforts, including acts intended to humiliate publicly or intrude upon the privacy of the debtors' family members, referees and friends, sending inappropriate messages either on mobile or through social media, making threatening and/ or anonymous calls, persistently</w:t>
      </w:r>
      <w:hyperlink r:id="rId68" w:anchor="F1" w:history="1">
        <w:r>
          <w:rPr>
            <w:rStyle w:val="Hyperlink"/>
            <w:rFonts w:ascii="Arial" w:hAnsi="Arial" w:cs="Arial"/>
            <w:sz w:val="15"/>
            <w:szCs w:val="15"/>
            <w:vertAlign w:val="superscript"/>
          </w:rPr>
          <w:t>1</w:t>
        </w:r>
      </w:hyperlink>
      <w:r>
        <w:rPr>
          <w:rFonts w:ascii="Arial" w:hAnsi="Arial" w:cs="Arial"/>
          <w:color w:val="000000"/>
          <w:sz w:val="20"/>
          <w:szCs w:val="20"/>
        </w:rPr>
        <w:t> calling the borrower and/ or calling the borrower before 8:00 a.m. and after 7:00 p.m. for recovery of overdue loans, making false and misleading representations, etc.</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3. The instructions contained in para 2 above shall supplement and be read in conjunction with the existing guidelines/directions issued by the Reserve Bank of India, as amended from time to time, including those tabulated in </w:t>
      </w:r>
      <w:hyperlink r:id="rId69" w:anchor="AN" w:history="1">
        <w:r>
          <w:rPr>
            <w:rStyle w:val="Hyperlink"/>
            <w:rFonts w:ascii="Arial" w:hAnsi="Arial" w:cs="Arial"/>
            <w:sz w:val="20"/>
            <w:szCs w:val="20"/>
          </w:rPr>
          <w:t>Annex</w:t>
        </w:r>
      </w:hyperlink>
      <w:r>
        <w:rPr>
          <w:rFonts w:ascii="Arial" w:hAnsi="Arial" w:cs="Arial"/>
          <w:color w:val="000000"/>
          <w:sz w:val="20"/>
          <w:szCs w:val="20"/>
        </w:rPr>
        <w:t>.</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4. Any violation in this regard by REs will be viewed seriously.</w:t>
      </w:r>
    </w:p>
    <w:p w:rsidR="0001090D" w:rsidRDefault="0001090D" w:rsidP="0001090D">
      <w:pPr>
        <w:pStyle w:val="head"/>
        <w:rPr>
          <w:rFonts w:ascii="Arial" w:hAnsi="Arial" w:cs="Arial"/>
          <w:b/>
          <w:bCs/>
          <w:color w:val="000000"/>
          <w:sz w:val="20"/>
          <w:szCs w:val="20"/>
        </w:rPr>
      </w:pPr>
      <w:r>
        <w:rPr>
          <w:rFonts w:ascii="Arial" w:hAnsi="Arial" w:cs="Arial"/>
          <w:b/>
          <w:bCs/>
          <w:color w:val="000000"/>
          <w:sz w:val="20"/>
          <w:szCs w:val="20"/>
        </w:rPr>
        <w:t>Applicability</w:t>
      </w:r>
    </w:p>
    <w:p w:rsidR="0001090D" w:rsidRDefault="0001090D" w:rsidP="0001090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 This circular shall apply to the following REs:</w:t>
      </w:r>
    </w:p>
    <w:p w:rsidR="0001090D" w:rsidRDefault="0001090D" w:rsidP="00DA1141">
      <w:pPr>
        <w:pStyle w:val="NormalWeb"/>
        <w:numPr>
          <w:ilvl w:val="0"/>
          <w:numId w:val="10"/>
        </w:numPr>
        <w:spacing w:before="0" w:beforeAutospacing="0"/>
        <w:ind w:left="0"/>
        <w:rPr>
          <w:rFonts w:ascii="Arial" w:hAnsi="Arial" w:cs="Arial"/>
          <w:color w:val="000000"/>
          <w:sz w:val="20"/>
          <w:szCs w:val="20"/>
        </w:rPr>
      </w:pPr>
      <w:r>
        <w:rPr>
          <w:rFonts w:ascii="Arial" w:hAnsi="Arial" w:cs="Arial"/>
          <w:color w:val="000000"/>
          <w:sz w:val="20"/>
          <w:szCs w:val="20"/>
        </w:rPr>
        <w:t>All Commercial Banks (including Local Area Banks, Regional Rural Banks, and Small Finance Banks) excluding Payments Banks;</w:t>
      </w:r>
    </w:p>
    <w:p w:rsidR="0001090D" w:rsidRDefault="0001090D" w:rsidP="00DA1141">
      <w:pPr>
        <w:pStyle w:val="NormalWeb"/>
        <w:numPr>
          <w:ilvl w:val="0"/>
          <w:numId w:val="10"/>
        </w:numPr>
        <w:ind w:left="0"/>
        <w:rPr>
          <w:rFonts w:ascii="Arial" w:hAnsi="Arial" w:cs="Arial"/>
          <w:color w:val="000000"/>
          <w:sz w:val="20"/>
          <w:szCs w:val="20"/>
        </w:rPr>
      </w:pPr>
      <w:r>
        <w:rPr>
          <w:rFonts w:ascii="Arial" w:hAnsi="Arial" w:cs="Arial"/>
          <w:color w:val="000000"/>
          <w:sz w:val="20"/>
          <w:szCs w:val="20"/>
        </w:rPr>
        <w:t xml:space="preserve">All All-India Financial Institutions (viz.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01090D" w:rsidRDefault="0001090D" w:rsidP="00DA1141">
      <w:pPr>
        <w:pStyle w:val="NormalWeb"/>
        <w:numPr>
          <w:ilvl w:val="0"/>
          <w:numId w:val="10"/>
        </w:numPr>
        <w:ind w:left="0"/>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01090D" w:rsidRDefault="0001090D" w:rsidP="00DA1141">
      <w:pPr>
        <w:pStyle w:val="NormalWeb"/>
        <w:numPr>
          <w:ilvl w:val="0"/>
          <w:numId w:val="10"/>
        </w:numPr>
        <w:ind w:left="0"/>
        <w:rPr>
          <w:rFonts w:ascii="Arial" w:hAnsi="Arial" w:cs="Arial"/>
          <w:color w:val="000000"/>
          <w:sz w:val="20"/>
          <w:szCs w:val="20"/>
        </w:rPr>
      </w:pPr>
      <w:r>
        <w:rPr>
          <w:rFonts w:ascii="Arial" w:hAnsi="Arial" w:cs="Arial"/>
          <w:color w:val="000000"/>
          <w:sz w:val="20"/>
          <w:szCs w:val="20"/>
        </w:rPr>
        <w:t>All Primary (Urban) Co-operative Banks, State Co-operative Banks, and District Central Co-operative Banks; and</w:t>
      </w:r>
    </w:p>
    <w:p w:rsidR="0001090D" w:rsidRDefault="0001090D" w:rsidP="00DA1141">
      <w:pPr>
        <w:pStyle w:val="NormalWeb"/>
        <w:numPr>
          <w:ilvl w:val="0"/>
          <w:numId w:val="10"/>
        </w:numPr>
        <w:ind w:left="0"/>
        <w:rPr>
          <w:rFonts w:ascii="Arial" w:hAnsi="Arial" w:cs="Arial"/>
          <w:color w:val="000000"/>
          <w:sz w:val="20"/>
          <w:szCs w:val="20"/>
        </w:rPr>
      </w:pPr>
      <w:r>
        <w:rPr>
          <w:rFonts w:ascii="Arial" w:hAnsi="Arial" w:cs="Arial"/>
          <w:color w:val="000000"/>
          <w:sz w:val="20"/>
          <w:szCs w:val="20"/>
        </w:rPr>
        <w:t>All Asset Reconstruction Companies.</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6. This circular shall not apply to microfinance loans covered under </w:t>
      </w:r>
      <w:hyperlink r:id="rId70" w:tgtFrame="_blank" w:history="1">
        <w:r>
          <w:rPr>
            <w:rStyle w:val="Hyperlink"/>
            <w:rFonts w:ascii="Arial" w:hAnsi="Arial" w:cs="Arial"/>
            <w:sz w:val="20"/>
            <w:szCs w:val="20"/>
          </w:rPr>
          <w:t>‘Master Direction – Reserve Bank of India (Regulatory Framework for Microfinance Loans) Directions, 2022’, dated March 14, 2022</w:t>
        </w:r>
      </w:hyperlink>
      <w:r>
        <w:rPr>
          <w:rFonts w:ascii="Arial" w:hAnsi="Arial" w:cs="Arial"/>
          <w:color w:val="000000"/>
          <w:sz w:val="20"/>
          <w:szCs w:val="20"/>
        </w:rPr>
        <w:t>.</w:t>
      </w:r>
    </w:p>
    <w:p w:rsidR="0001090D" w:rsidRDefault="0001090D" w:rsidP="0001090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spacing w:before="0" w:beforeAutospacing="0"/>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01090D" w:rsidRDefault="0001090D" w:rsidP="0001090D">
      <w:pPr>
        <w:spacing w:before="240" w:after="0"/>
      </w:pPr>
    </w:p>
    <w:p w:rsidR="0001090D" w:rsidRDefault="0001090D" w:rsidP="0001090D">
      <w:pPr>
        <w:spacing w:after="0"/>
      </w:pPr>
      <w:r>
        <w:t>More details can be referred to in the below link.</w:t>
      </w:r>
    </w:p>
    <w:p w:rsidR="0001090D" w:rsidRDefault="0001090D" w:rsidP="0001090D">
      <w:pPr>
        <w:pStyle w:val="NormalWeb"/>
        <w:spacing w:before="0" w:beforeAutospacing="0"/>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71" w:anchor=":~:text=The%20Reserve%20Bank%20of%20India,to%20as%20'agents" w:history="1">
        <w:r w:rsidRPr="006865D6">
          <w:rPr>
            <w:rStyle w:val="Hyperlink"/>
            <w:rFonts w:ascii="Arial" w:hAnsi="Arial" w:cs="Arial"/>
            <w:bCs/>
            <w:sz w:val="20"/>
            <w:szCs w:val="20"/>
          </w:rPr>
          <w:t>https://rbi.org.in/scripts/FS_Notification.aspx?Id=12378&amp;fn=2&amp;Mode=0#:~:text=The%20Reserve%20Bank%20of%20India,to%20as%20'agents</w:t>
        </w:r>
      </w:hyperlink>
      <w:r w:rsidRPr="00DE6119">
        <w:rPr>
          <w:rFonts w:ascii="Arial" w:hAnsi="Arial" w:cs="Arial"/>
          <w:bCs/>
          <w:color w:val="000000"/>
          <w:sz w:val="20"/>
          <w:szCs w:val="20"/>
        </w:rPr>
        <w:t>').</w:t>
      </w:r>
    </w:p>
    <w:p w:rsidR="0001090D" w:rsidRDefault="0001090D" w:rsidP="0001090D">
      <w:pP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01090D" w:rsidRDefault="0001090D" w:rsidP="0001090D">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01090D" w:rsidRDefault="0001090D" w:rsidP="0001090D">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01090D" w:rsidRDefault="0001090D" w:rsidP="0001090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72"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01090D" w:rsidRDefault="0001090D" w:rsidP="0001090D">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73"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74"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01090D" w:rsidRPr="005D5DB2" w:rsidRDefault="0001090D" w:rsidP="0001090D">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01090D" w:rsidRDefault="0001090D" w:rsidP="0001090D">
      <w:pPr>
        <w:pStyle w:val="NormalWeb"/>
        <w:rPr>
          <w:rFonts w:ascii="Arial" w:hAnsi="Arial" w:cs="Arial"/>
          <w:color w:val="000000"/>
          <w:sz w:val="20"/>
          <w:szCs w:val="20"/>
        </w:rPr>
      </w:pP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01090D" w:rsidRDefault="0001090D" w:rsidP="0001090D"/>
    <w:p w:rsidR="0001090D" w:rsidRDefault="0001090D" w:rsidP="0001090D"/>
    <w:p w:rsidR="0001090D" w:rsidRDefault="0001090D" w:rsidP="0001090D"/>
    <w:p w:rsidR="0001090D" w:rsidRDefault="0001090D" w:rsidP="0001090D">
      <w:r>
        <w:t>More details can be referred to in the below link.</w:t>
      </w:r>
    </w:p>
    <w:p w:rsidR="0001090D" w:rsidRDefault="0001090D" w:rsidP="0001090D">
      <w:pPr>
        <w:rPr>
          <w:rFonts w:ascii="Arial" w:hAnsi="Arial" w:cs="Arial"/>
          <w:sz w:val="20"/>
          <w:szCs w:val="20"/>
        </w:rPr>
      </w:pPr>
      <w:r>
        <w:rPr>
          <w:rFonts w:ascii="Arial" w:hAnsi="Arial" w:cs="Arial"/>
          <w:sz w:val="20"/>
          <w:szCs w:val="20"/>
        </w:rPr>
        <w:t xml:space="preserve">Reference Link: </w:t>
      </w:r>
      <w:hyperlink r:id="rId75" w:history="1">
        <w:r w:rsidRPr="00200311">
          <w:rPr>
            <w:rStyle w:val="Hyperlink"/>
            <w:rFonts w:ascii="Arial" w:hAnsi="Arial" w:cs="Arial"/>
            <w:sz w:val="20"/>
            <w:szCs w:val="20"/>
          </w:rPr>
          <w:t>https://www.rbi.org.in/scripts/NotificationUser.aspx?Id=12380&amp;Mode=0</w:t>
        </w:r>
      </w:hyperlink>
    </w:p>
    <w:p w:rsidR="0001090D" w:rsidRDefault="0001090D" w:rsidP="0001090D"/>
    <w:p w:rsidR="0001090D" w:rsidRDefault="0001090D" w:rsidP="00BA0C06">
      <w:pPr>
        <w:rPr>
          <w:rFonts w:ascii="Arial" w:hAnsi="Arial" w:cs="Arial"/>
          <w:bCs/>
          <w:color w:val="000000"/>
          <w:sz w:val="20"/>
          <w:szCs w:val="20"/>
        </w:rPr>
      </w:pPr>
    </w:p>
    <w:p w:rsidR="0001090D" w:rsidRPr="00435B25" w:rsidRDefault="0001090D" w:rsidP="0001090D">
      <w:pP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01090D" w:rsidRPr="00435B25" w:rsidRDefault="0001090D" w:rsidP="0001090D">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01090D" w:rsidRPr="00435B25" w:rsidRDefault="0001090D" w:rsidP="0001090D">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01090D" w:rsidRPr="00435B25" w:rsidRDefault="0001090D" w:rsidP="0001090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01090D" w:rsidRPr="00435B25" w:rsidRDefault="0001090D" w:rsidP="0001090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01090D" w:rsidRPr="00435B25" w:rsidRDefault="0001090D" w:rsidP="0001090D">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01090D" w:rsidRPr="00435B25" w:rsidRDefault="0001090D" w:rsidP="0001090D">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01090D" w:rsidRPr="00435B25" w:rsidRDefault="0001090D" w:rsidP="0001090D">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76"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77"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78"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79"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01090D" w:rsidRPr="00435B25" w:rsidRDefault="0001090D" w:rsidP="0001090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01090D" w:rsidRPr="00435B25" w:rsidRDefault="0001090D" w:rsidP="0001090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 enhanced clarity with respect to various definitions;</w:t>
      </w:r>
    </w:p>
    <w:p w:rsidR="0001090D" w:rsidRPr="00435B25" w:rsidRDefault="0001090D" w:rsidP="0001090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01090D" w:rsidRPr="00435B25" w:rsidRDefault="0001090D" w:rsidP="0001090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01090D" w:rsidRPr="00435B25" w:rsidRDefault="0001090D" w:rsidP="00DA1141">
      <w:pPr>
        <w:pStyle w:val="NormalWeb"/>
        <w:numPr>
          <w:ilvl w:val="0"/>
          <w:numId w:val="11"/>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01090D" w:rsidRPr="00435B25" w:rsidRDefault="0001090D" w:rsidP="00DA1141">
      <w:pPr>
        <w:pStyle w:val="NormalWeb"/>
        <w:numPr>
          <w:ilvl w:val="0"/>
          <w:numId w:val="11"/>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01090D" w:rsidRPr="00435B25" w:rsidRDefault="0001090D" w:rsidP="00DA1141">
      <w:pPr>
        <w:pStyle w:val="NormalWeb"/>
        <w:numPr>
          <w:ilvl w:val="0"/>
          <w:numId w:val="11"/>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01090D" w:rsidRPr="00435B25" w:rsidRDefault="0001090D" w:rsidP="00DA1141">
      <w:pPr>
        <w:pStyle w:val="NormalWeb"/>
        <w:numPr>
          <w:ilvl w:val="0"/>
          <w:numId w:val="11"/>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01090D" w:rsidRPr="00435B25" w:rsidRDefault="0001090D" w:rsidP="0001090D">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01090D" w:rsidRDefault="0001090D" w:rsidP="0001090D">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01090D" w:rsidRPr="00435B25" w:rsidRDefault="0001090D" w:rsidP="0001090D">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01090D" w:rsidRDefault="0001090D" w:rsidP="0001090D">
      <w:pPr>
        <w:rPr>
          <w:rFonts w:ascii="Arial" w:hAnsi="Arial" w:cs="Arial"/>
          <w:sz w:val="20"/>
          <w:szCs w:val="20"/>
        </w:rPr>
      </w:pPr>
    </w:p>
    <w:p w:rsidR="0001090D" w:rsidRPr="00435B25" w:rsidRDefault="0001090D" w:rsidP="0001090D">
      <w:pPr>
        <w:spacing w:after="0"/>
        <w:rPr>
          <w:rFonts w:ascii="Arial" w:hAnsi="Arial" w:cs="Arial"/>
          <w:sz w:val="20"/>
          <w:szCs w:val="20"/>
        </w:rPr>
      </w:pPr>
    </w:p>
    <w:p w:rsidR="0001090D" w:rsidRPr="00435B25" w:rsidRDefault="0001090D" w:rsidP="0001090D">
      <w:pPr>
        <w:spacing w:after="0"/>
        <w:rPr>
          <w:rFonts w:ascii="Arial" w:hAnsi="Arial" w:cs="Arial"/>
          <w:sz w:val="20"/>
          <w:szCs w:val="20"/>
        </w:rPr>
      </w:pPr>
      <w:r w:rsidRPr="00435B25">
        <w:rPr>
          <w:rFonts w:ascii="Arial" w:hAnsi="Arial" w:cs="Arial"/>
          <w:sz w:val="20"/>
          <w:szCs w:val="20"/>
        </w:rPr>
        <w:t>More details can be referred to in the below link.</w:t>
      </w:r>
    </w:p>
    <w:p w:rsidR="0001090D" w:rsidRDefault="0001090D" w:rsidP="0001090D">
      <w:pPr>
        <w:rPr>
          <w:rStyle w:val="Hyperlink"/>
          <w:rFonts w:ascii="Arial" w:hAnsi="Arial" w:cs="Arial"/>
          <w:sz w:val="20"/>
          <w:szCs w:val="20"/>
        </w:rPr>
      </w:pPr>
      <w:r w:rsidRPr="00435B25">
        <w:rPr>
          <w:rFonts w:ascii="Arial" w:hAnsi="Arial" w:cs="Arial"/>
          <w:sz w:val="20"/>
          <w:szCs w:val="20"/>
        </w:rPr>
        <w:lastRenderedPageBreak/>
        <w:t xml:space="preserve">Reference Link: </w:t>
      </w:r>
      <w:hyperlink r:id="rId80" w:history="1">
        <w:r w:rsidRPr="00435B25">
          <w:rPr>
            <w:rStyle w:val="Hyperlink"/>
            <w:rFonts w:ascii="Arial" w:hAnsi="Arial" w:cs="Arial"/>
            <w:sz w:val="20"/>
            <w:szCs w:val="20"/>
          </w:rPr>
          <w:t>https://www.rbi.org.in/scripts/NotificationUser.aspx?Id=12381&amp;Mode=0</w:t>
        </w:r>
      </w:hyperlink>
    </w:p>
    <w:p w:rsidR="0001090D" w:rsidRDefault="0001090D" w:rsidP="0001090D">
      <w:pPr>
        <w:rPr>
          <w:rStyle w:val="Hyperlink"/>
          <w:rFonts w:ascii="Arial" w:hAnsi="Arial" w:cs="Arial"/>
          <w:sz w:val="20"/>
          <w:szCs w:val="20"/>
        </w:rPr>
      </w:pPr>
    </w:p>
    <w:p w:rsidR="0001090D" w:rsidRDefault="0001090D" w:rsidP="0001090D">
      <w:pPr>
        <w:pStyle w:val="NormalWeb"/>
        <w:rPr>
          <w:rFonts w:ascii="Arial" w:hAnsi="Arial" w:cs="Arial"/>
          <w:b/>
          <w:bCs/>
          <w:color w:val="000000"/>
          <w:sz w:val="20"/>
          <w:szCs w:val="20"/>
        </w:rPr>
      </w:pPr>
      <w:r>
        <w:rPr>
          <w:rFonts w:ascii="Arial" w:hAnsi="Arial" w:cs="Arial"/>
          <w:b/>
          <w:bCs/>
          <w:color w:val="000000"/>
          <w:sz w:val="20"/>
          <w:szCs w:val="20"/>
        </w:rPr>
        <w:t>Guidelines on Digital Lending</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02,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Madam/ Sir,</w:t>
      </w:r>
    </w:p>
    <w:p w:rsidR="0001090D" w:rsidRDefault="0001090D" w:rsidP="0001090D">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81"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82"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83"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01090D" w:rsidRDefault="0001090D" w:rsidP="0001090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01090D" w:rsidRDefault="0001090D" w:rsidP="0001090D">
      <w:pPr>
        <w:spacing w:before="240" w:after="240"/>
        <w:rPr>
          <w:rFonts w:ascii="Times New Roman" w:hAnsi="Times New Roman" w:cs="Times New Roman"/>
          <w:sz w:val="24"/>
          <w:szCs w:val="24"/>
        </w:rPr>
      </w:pPr>
    </w:p>
    <w:p w:rsidR="0001090D" w:rsidRDefault="0001090D" w:rsidP="0001090D">
      <w:pPr>
        <w:spacing w:before="240" w:after="240"/>
        <w:rPr>
          <w:rFonts w:ascii="Times New Roman" w:hAnsi="Times New Roman" w:cs="Times New Roman"/>
          <w:sz w:val="24"/>
          <w:szCs w:val="24"/>
        </w:rPr>
      </w:pPr>
    </w:p>
    <w:p w:rsidR="0001090D" w:rsidRDefault="0001090D" w:rsidP="0001090D">
      <w:r>
        <w:t>More details can be referred to in the below link.</w:t>
      </w:r>
    </w:p>
    <w:p w:rsidR="0001090D" w:rsidRDefault="0001090D" w:rsidP="0001090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4" w:history="1">
        <w:r w:rsidRPr="006865D6">
          <w:rPr>
            <w:rStyle w:val="Hyperlink"/>
            <w:rFonts w:ascii="Arial" w:hAnsi="Arial" w:cs="Arial"/>
            <w:bCs/>
            <w:sz w:val="20"/>
            <w:szCs w:val="20"/>
          </w:rPr>
          <w:t>https://rbi.org.in/Scripts/BS_CircularIndexDisplay.aspx?Id=12382</w:t>
        </w:r>
      </w:hyperlink>
    </w:p>
    <w:p w:rsidR="0001090D" w:rsidRDefault="0001090D" w:rsidP="0001090D">
      <w:pPr>
        <w:pStyle w:val="NormalWeb"/>
        <w:rPr>
          <w:rFonts w:ascii="Arial" w:hAnsi="Arial" w:cs="Arial"/>
          <w:bCs/>
          <w:color w:val="000000"/>
          <w:sz w:val="20"/>
          <w:szCs w:val="20"/>
        </w:rPr>
      </w:pPr>
    </w:p>
    <w:p w:rsidR="0001090D" w:rsidRDefault="0001090D" w:rsidP="0001090D">
      <w:pPr>
        <w:pStyle w:val="NormalWeb"/>
        <w:rPr>
          <w:rFonts w:ascii="Arial" w:hAnsi="Arial" w:cs="Arial"/>
          <w:color w:val="000000"/>
          <w:sz w:val="20"/>
          <w:szCs w:val="20"/>
        </w:rPr>
      </w:pPr>
    </w:p>
    <w:p w:rsidR="0001090D" w:rsidRDefault="0001090D" w:rsidP="0001090D">
      <w:pPr>
        <w:pStyle w:val="NormalWeb"/>
        <w:rPr>
          <w:rFonts w:ascii="Arial" w:hAnsi="Arial" w:cs="Arial"/>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pStyle w:val="NormalWeb"/>
        <w:rPr>
          <w:rFonts w:ascii="Arial" w:hAnsi="Arial" w:cs="Arial"/>
          <w:b/>
          <w:bCs/>
          <w:color w:val="000000"/>
          <w:sz w:val="20"/>
          <w:szCs w:val="20"/>
        </w:rPr>
      </w:pPr>
      <w:r>
        <w:rPr>
          <w:rFonts w:ascii="Arial" w:hAnsi="Arial" w:cs="Arial"/>
          <w:b/>
          <w:bCs/>
          <w:color w:val="000000"/>
          <w:sz w:val="20"/>
          <w:szCs w:val="20"/>
        </w:rPr>
        <w:t>Incentive for improving service to non-chest branches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RBI/2022-23/112</w:t>
      </w:r>
      <w:r>
        <w:rPr>
          <w:rFonts w:ascii="Arial" w:hAnsi="Arial" w:cs="Arial"/>
          <w:color w:val="000000"/>
          <w:sz w:val="20"/>
          <w:szCs w:val="20"/>
        </w:rPr>
        <w:br/>
        <w:t>DCM (NPD) No.S770/09.40.002/2022-23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06,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The Chairman &amp; Managing Director</w:t>
      </w:r>
      <w:r>
        <w:rPr>
          <w:rFonts w:ascii="Arial" w:hAnsi="Arial" w:cs="Arial"/>
          <w:color w:val="000000"/>
          <w:sz w:val="20"/>
          <w:szCs w:val="20"/>
        </w:rPr>
        <w:br/>
        <w:t>Managing Director/ Chief Executive Officer</w:t>
      </w:r>
      <w:r>
        <w:rPr>
          <w:rFonts w:ascii="Arial" w:hAnsi="Arial" w:cs="Arial"/>
          <w:color w:val="000000"/>
          <w:sz w:val="20"/>
          <w:szCs w:val="20"/>
        </w:rPr>
        <w:br/>
        <w:t>All Banks having Currency Chests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 Sir,</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u w:val="single"/>
        </w:rPr>
        <w:t>Incentive for improving service to non-chest branches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w:t>
      </w:r>
      <w:hyperlink r:id="rId85" w:tgtFrame="_blank" w:history="1">
        <w:r>
          <w:rPr>
            <w:rStyle w:val="Hyperlink"/>
            <w:rFonts w:ascii="Arial" w:hAnsi="Arial" w:cs="Arial"/>
            <w:sz w:val="20"/>
            <w:szCs w:val="20"/>
          </w:rPr>
          <w:t>circulars RBI/ 2015-16/ 293 DCM (NPD) No. 2564/ 09.40.02/ 2015-16 dated January 21, 2016</w:t>
        </w:r>
      </w:hyperlink>
      <w:r>
        <w:rPr>
          <w:rFonts w:ascii="Arial" w:hAnsi="Arial" w:cs="Arial"/>
          <w:color w:val="000000"/>
          <w:sz w:val="20"/>
          <w:szCs w:val="20"/>
        </w:rPr>
        <w:t> and </w:t>
      </w:r>
      <w:hyperlink r:id="rId86" w:tgtFrame="_blank" w:history="1">
        <w:r>
          <w:rPr>
            <w:rStyle w:val="Hyperlink"/>
            <w:rFonts w:ascii="Arial" w:hAnsi="Arial" w:cs="Arial"/>
            <w:sz w:val="20"/>
            <w:szCs w:val="20"/>
          </w:rPr>
          <w:t>DCM (</w:t>
        </w:r>
        <w:proofErr w:type="spellStart"/>
        <w:r>
          <w:rPr>
            <w:rStyle w:val="Hyperlink"/>
            <w:rFonts w:ascii="Arial" w:hAnsi="Arial" w:cs="Arial"/>
            <w:sz w:val="20"/>
            <w:szCs w:val="20"/>
          </w:rPr>
          <w:t>Plg</w:t>
        </w:r>
        <w:proofErr w:type="spellEnd"/>
        <w:r>
          <w:rPr>
            <w:rStyle w:val="Hyperlink"/>
            <w:rFonts w:ascii="Arial" w:hAnsi="Arial" w:cs="Arial"/>
            <w:sz w:val="20"/>
            <w:szCs w:val="20"/>
          </w:rPr>
          <w:t>.) No 2845/ 10.25.007/2018-19 dated May 23, 2019</w:t>
        </w:r>
      </w:hyperlink>
      <w:r>
        <w:rPr>
          <w:rFonts w:ascii="Arial" w:hAnsi="Arial" w:cs="Arial"/>
          <w:color w:val="000000"/>
          <w:sz w:val="20"/>
          <w:szCs w:val="20"/>
        </w:rPr>
        <w:t> on the captioned subject.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We have been receiving queries regarding the applicability of GST on the service charges levied on cash deposited by non-chest bank branches to the Currency Chests. It is clarified that the amount indicated in the aforesaid circulars are exclusive of applicable taxes. Accordingly, the service charges mentioned in the aforesaid circulars is to be read as ₹5 </w:t>
      </w:r>
      <w:r>
        <w:rPr>
          <w:rFonts w:ascii="Arial" w:hAnsi="Arial" w:cs="Arial"/>
          <w:color w:val="000000"/>
          <w:sz w:val="20"/>
          <w:szCs w:val="20"/>
          <w:u w:val="single"/>
        </w:rPr>
        <w:t>plus applicable taxes</w:t>
      </w:r>
      <w:r>
        <w:rPr>
          <w:rFonts w:ascii="Arial" w:hAnsi="Arial" w:cs="Arial"/>
          <w:color w:val="000000"/>
          <w:sz w:val="20"/>
          <w:szCs w:val="20"/>
        </w:rPr>
        <w:t> per packet and ₹8 </w:t>
      </w:r>
      <w:r>
        <w:rPr>
          <w:rFonts w:ascii="Arial" w:hAnsi="Arial" w:cs="Arial"/>
          <w:color w:val="000000"/>
          <w:sz w:val="20"/>
          <w:szCs w:val="20"/>
          <w:u w:val="single"/>
        </w:rPr>
        <w:t>plus applicable taxes</w:t>
      </w:r>
      <w:r>
        <w:rPr>
          <w:rFonts w:ascii="Arial" w:hAnsi="Arial" w:cs="Arial"/>
          <w:color w:val="000000"/>
          <w:sz w:val="20"/>
          <w:szCs w:val="20"/>
        </w:rPr>
        <w:t> per packet, as the case may be.</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01090D" w:rsidRDefault="0001090D" w:rsidP="0001090D">
      <w:pPr>
        <w:pStyle w:val="NormalWeb"/>
        <w:rPr>
          <w:rFonts w:ascii="Arial" w:hAnsi="Arial" w:cs="Arial"/>
          <w:color w:val="000000"/>
          <w:sz w:val="20"/>
          <w:szCs w:val="20"/>
        </w:rPr>
      </w:pPr>
    </w:p>
    <w:p w:rsidR="0001090D" w:rsidRDefault="0001090D" w:rsidP="0001090D">
      <w:pPr>
        <w:pStyle w:val="NormalWeb"/>
        <w:rPr>
          <w:rFonts w:ascii="Arial" w:hAnsi="Arial" w:cs="Arial"/>
          <w:color w:val="000000"/>
          <w:sz w:val="20"/>
          <w:szCs w:val="20"/>
        </w:rPr>
      </w:pPr>
    </w:p>
    <w:p w:rsidR="0001090D" w:rsidRDefault="0001090D" w:rsidP="0001090D">
      <w:r>
        <w:t>More details can be referred to in the below link.</w:t>
      </w:r>
    </w:p>
    <w:p w:rsidR="0001090D" w:rsidRDefault="0001090D" w:rsidP="0001090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7" w:history="1">
        <w:r w:rsidRPr="006865D6">
          <w:rPr>
            <w:rStyle w:val="Hyperlink"/>
            <w:rFonts w:ascii="Arial" w:hAnsi="Arial" w:cs="Arial"/>
            <w:bCs/>
            <w:sz w:val="20"/>
            <w:szCs w:val="20"/>
          </w:rPr>
          <w:t>https://www.rbi.org.in/scripts/NotificationUser.aspx?Id=12383&amp;Mode=0</w:t>
        </w:r>
      </w:hyperlink>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07,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Dear Sir/Madam,</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88"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01090D" w:rsidRDefault="0001090D" w:rsidP="00DA1141">
      <w:pPr>
        <w:pStyle w:val="NormalWeb"/>
        <w:numPr>
          <w:ilvl w:val="0"/>
          <w:numId w:val="12"/>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89"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01090D" w:rsidRDefault="0001090D" w:rsidP="00DA1141">
      <w:pPr>
        <w:pStyle w:val="NormalWeb"/>
        <w:numPr>
          <w:ilvl w:val="0"/>
          <w:numId w:val="12"/>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01090D" w:rsidRDefault="0001090D" w:rsidP="00DA1141">
      <w:pPr>
        <w:pStyle w:val="NormalWeb"/>
        <w:numPr>
          <w:ilvl w:val="0"/>
          <w:numId w:val="12"/>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r>
        <w:t>More details can be referred to in the below link.</w:t>
      </w:r>
    </w:p>
    <w:p w:rsidR="0001090D" w:rsidRDefault="0001090D" w:rsidP="0001090D">
      <w:pPr>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90" w:history="1">
        <w:r w:rsidRPr="00B27270">
          <w:rPr>
            <w:rStyle w:val="Hyperlink"/>
            <w:rFonts w:ascii="Arial" w:hAnsi="Arial" w:cs="Arial"/>
            <w:bCs/>
            <w:sz w:val="20"/>
            <w:szCs w:val="20"/>
          </w:rPr>
          <w:t>https://m.rbi.org.in/scripts/FS_Notification.aspx?Id=12384&amp;fn=2&amp;Mode=0</w:t>
        </w:r>
      </w:hyperlink>
    </w:p>
    <w:p w:rsidR="0001090D" w:rsidRDefault="0001090D" w:rsidP="0001090D">
      <w:pPr>
        <w:rPr>
          <w:rFonts w:ascii="Arial" w:hAnsi="Arial" w:cs="Arial"/>
          <w:bCs/>
          <w:color w:val="000000"/>
          <w:sz w:val="20"/>
          <w:szCs w:val="20"/>
        </w:rPr>
      </w:pPr>
    </w:p>
    <w:p w:rsidR="0001090D" w:rsidRPr="00147837" w:rsidRDefault="0001090D" w:rsidP="0001090D">
      <w:pPr>
        <w:rPr>
          <w:rFonts w:ascii="Arial" w:hAnsi="Arial" w:cs="Arial"/>
          <w:b/>
          <w:bCs/>
          <w:color w:val="000000"/>
          <w:sz w:val="20"/>
          <w:szCs w:val="20"/>
        </w:rPr>
      </w:pPr>
      <w:r w:rsidRPr="00147837">
        <w:rPr>
          <w:rFonts w:ascii="Arial" w:hAnsi="Arial" w:cs="Arial"/>
          <w:b/>
          <w:bCs/>
          <w:color w:val="000000"/>
          <w:sz w:val="20"/>
          <w:szCs w:val="20"/>
        </w:rPr>
        <w:t>Rupee Drawing Arrangement - Enabling Bharat Bill Payment System (BBPS) to process cross-border inbound Bill Payments</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01090D" w:rsidRPr="00147837" w:rsidRDefault="0001090D" w:rsidP="0001090D">
      <w:pPr>
        <w:pStyle w:val="NormalWeb"/>
        <w:jc w:val="right"/>
        <w:rPr>
          <w:rFonts w:ascii="Arial" w:hAnsi="Arial" w:cs="Arial"/>
          <w:sz w:val="20"/>
          <w:szCs w:val="20"/>
        </w:rPr>
      </w:pPr>
      <w:r w:rsidRPr="00147837">
        <w:rPr>
          <w:rFonts w:ascii="Arial" w:hAnsi="Arial" w:cs="Arial"/>
          <w:sz w:val="20"/>
          <w:szCs w:val="20"/>
        </w:rPr>
        <w:t>September 15, 2022</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Madam/Sir,</w:t>
      </w:r>
    </w:p>
    <w:p w:rsidR="0001090D" w:rsidRPr="00147837" w:rsidRDefault="0001090D" w:rsidP="0001090D">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Please refer to </w:t>
      </w:r>
      <w:hyperlink r:id="rId91"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2. As announced in Para 6 of the </w:t>
      </w:r>
      <w:hyperlink r:id="rId92"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93"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01090D" w:rsidRPr="00147837" w:rsidRDefault="0001090D" w:rsidP="0001090D">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01090D" w:rsidRPr="00147837" w:rsidRDefault="0001090D" w:rsidP="0001090D">
      <w:pPr>
        <w:pStyle w:val="NormalWeb"/>
        <w:spacing w:after="0" w:afterAutospacing="0"/>
        <w:rPr>
          <w:rFonts w:ascii="Arial" w:hAnsi="Arial" w:cs="Arial"/>
          <w:sz w:val="20"/>
          <w:szCs w:val="20"/>
        </w:rPr>
      </w:pPr>
      <w:r w:rsidRPr="00147837">
        <w:rPr>
          <w:rFonts w:ascii="Arial" w:hAnsi="Arial" w:cs="Arial"/>
          <w:sz w:val="20"/>
          <w:szCs w:val="20"/>
        </w:rPr>
        <w:t>Yours faithfully,</w:t>
      </w:r>
    </w:p>
    <w:p w:rsidR="0001090D" w:rsidRPr="009F305B" w:rsidRDefault="0001090D" w:rsidP="0001090D">
      <w:pPr>
        <w:pStyle w:val="NormalWeb"/>
        <w:spacing w:before="0" w:beforeAutospacing="0"/>
        <w:rPr>
          <w:rFonts w:ascii="Arial" w:hAnsi="Arial" w:cs="Arial"/>
          <w:sz w:val="20"/>
          <w:szCs w:val="20"/>
        </w:rPr>
      </w:pPr>
      <w:r w:rsidRPr="00147837">
        <w:rPr>
          <w:rFonts w:ascii="Arial" w:hAnsi="Arial" w:cs="Arial"/>
          <w:sz w:val="20"/>
          <w:szCs w:val="20"/>
        </w:rPr>
        <w:t>(Vivek Srivastava)</w:t>
      </w:r>
      <w:r w:rsidRPr="00147837">
        <w:rPr>
          <w:rFonts w:ascii="Arial" w:hAnsi="Arial" w:cs="Arial"/>
          <w:sz w:val="20"/>
          <w:szCs w:val="20"/>
        </w:rPr>
        <w:br/>
        <w:t>Chief General Manager</w:t>
      </w:r>
    </w:p>
    <w:p w:rsidR="0001090D" w:rsidRDefault="0001090D" w:rsidP="0001090D"/>
    <w:p w:rsidR="0001090D" w:rsidRDefault="0001090D" w:rsidP="0001090D"/>
    <w:p w:rsidR="0001090D" w:rsidRPr="00435B25" w:rsidRDefault="0001090D" w:rsidP="0001090D">
      <w:pPr>
        <w:spacing w:after="0"/>
        <w:rPr>
          <w:rFonts w:ascii="Arial" w:hAnsi="Arial" w:cs="Arial"/>
          <w:sz w:val="20"/>
          <w:szCs w:val="20"/>
        </w:rPr>
      </w:pPr>
      <w:r w:rsidRPr="00435B25">
        <w:rPr>
          <w:rFonts w:ascii="Arial" w:hAnsi="Arial" w:cs="Arial"/>
          <w:sz w:val="20"/>
          <w:szCs w:val="20"/>
        </w:rPr>
        <w:t>More details can be referred to in the below link.</w:t>
      </w:r>
    </w:p>
    <w:p w:rsidR="0001090D" w:rsidRDefault="0001090D" w:rsidP="0001090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94" w:history="1">
        <w:r w:rsidRPr="00200311">
          <w:rPr>
            <w:rStyle w:val="Hyperlink"/>
            <w:rFonts w:ascii="Arial" w:hAnsi="Arial" w:cs="Arial"/>
            <w:sz w:val="20"/>
            <w:szCs w:val="20"/>
          </w:rPr>
          <w:t>https://www.rbi.org.in/scripts/NotificationUser.aspx?Id=12386&amp;Mode=0</w:t>
        </w:r>
      </w:hyperlink>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spacing w:after="0"/>
        <w:rPr>
          <w:rFonts w:ascii="Arial" w:hAnsi="Arial" w:cs="Arial"/>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pStyle w:val="NormalWeb"/>
        <w:rPr>
          <w:rFonts w:ascii="Arial" w:hAnsi="Arial" w:cs="Arial"/>
          <w:b/>
          <w:bCs/>
          <w:color w:val="000000"/>
          <w:sz w:val="20"/>
          <w:szCs w:val="20"/>
        </w:rPr>
      </w:pPr>
      <w:r>
        <w:rPr>
          <w:rFonts w:ascii="Arial" w:hAnsi="Arial" w:cs="Arial"/>
          <w:b/>
          <w:bCs/>
          <w:color w:val="000000"/>
          <w:sz w:val="20"/>
          <w:szCs w:val="20"/>
        </w:rPr>
        <w:t>Master Directions on Interest Rate on Deposits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16,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Sir / Madam,</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95"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96"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97"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98"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99" w:anchor="A_N" w:history="1">
        <w:r>
          <w:rPr>
            <w:rStyle w:val="Hyperlink"/>
            <w:rFonts w:ascii="Arial" w:hAnsi="Arial" w:cs="Arial"/>
            <w:sz w:val="20"/>
            <w:szCs w:val="20"/>
          </w:rPr>
          <w:t>Annex</w:t>
        </w:r>
      </w:hyperlink>
      <w:r>
        <w:rPr>
          <w:rFonts w:ascii="Arial" w:hAnsi="Arial" w:cs="Arial"/>
          <w:color w:val="000000"/>
          <w:sz w:val="20"/>
          <w:szCs w:val="20"/>
        </w:rPr>
        <w: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01090D" w:rsidRDefault="0001090D" w:rsidP="0001090D"/>
    <w:p w:rsidR="0001090D" w:rsidRDefault="0001090D" w:rsidP="0001090D"/>
    <w:p w:rsidR="0001090D" w:rsidRDefault="0001090D" w:rsidP="0001090D">
      <w:r>
        <w:t>More details can be referred to in the below link.</w:t>
      </w:r>
    </w:p>
    <w:p w:rsidR="0001090D" w:rsidRDefault="0001090D" w:rsidP="0001090D">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0" w:history="1">
        <w:r w:rsidRPr="006865D6">
          <w:rPr>
            <w:rStyle w:val="Hyperlink"/>
            <w:rFonts w:ascii="Arial" w:hAnsi="Arial" w:cs="Arial"/>
            <w:bCs/>
            <w:sz w:val="20"/>
            <w:szCs w:val="20"/>
          </w:rPr>
          <w:t>https://rbi.org.in/Scripts/NotificationUser.aspx?Id=12388&amp;Mode=0</w:t>
        </w:r>
      </w:hyperlink>
    </w:p>
    <w:p w:rsidR="0001090D" w:rsidRDefault="0001090D" w:rsidP="0001090D">
      <w:pPr>
        <w:pStyle w:val="NormalWeb"/>
        <w:rPr>
          <w:rFonts w:ascii="Arial" w:hAnsi="Arial" w:cs="Arial"/>
          <w:bCs/>
          <w:color w:val="000000"/>
          <w:sz w:val="20"/>
          <w:szCs w:val="20"/>
        </w:rPr>
      </w:pPr>
    </w:p>
    <w:p w:rsidR="0001090D" w:rsidRDefault="0001090D" w:rsidP="0001090D">
      <w:pPr>
        <w:pStyle w:val="NormalWeb"/>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Compliance Function and Role of Chief Compliance Officer (CCO)- Urban Co-operative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RBI/2022-2023/118</w:t>
      </w:r>
      <w:r>
        <w:rPr>
          <w:rFonts w:ascii="Arial" w:hAnsi="Arial" w:cs="Arial"/>
          <w:color w:val="000000"/>
          <w:sz w:val="20"/>
          <w:szCs w:val="20"/>
        </w:rPr>
        <w:br/>
      </w:r>
      <w:proofErr w:type="spellStart"/>
      <w:r>
        <w:rPr>
          <w:rFonts w:ascii="Arial" w:hAnsi="Arial" w:cs="Arial"/>
          <w:color w:val="000000"/>
          <w:sz w:val="20"/>
          <w:szCs w:val="20"/>
        </w:rPr>
        <w:t>Ref.No.DoS.CO.PPG</w:t>
      </w:r>
      <w:proofErr w:type="spellEnd"/>
      <w:r>
        <w:rPr>
          <w:rFonts w:ascii="Arial" w:hAnsi="Arial" w:cs="Arial"/>
          <w:color w:val="000000"/>
          <w:sz w:val="20"/>
          <w:szCs w:val="20"/>
        </w:rPr>
        <w:t>/SEC.04/11.01.005/2022-23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19,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Primary (Urban) Co-operative Banks (UCBs)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 / Dear Sir,</w:t>
      </w:r>
    </w:p>
    <w:p w:rsidR="0001090D" w:rsidRDefault="0001090D" w:rsidP="0001090D">
      <w:pPr>
        <w:pStyle w:val="head"/>
        <w:jc w:val="center"/>
        <w:rPr>
          <w:rFonts w:ascii="Arial" w:hAnsi="Arial" w:cs="Arial"/>
          <w:b/>
          <w:bCs/>
          <w:color w:val="000000"/>
          <w:sz w:val="20"/>
          <w:szCs w:val="20"/>
        </w:rPr>
      </w:pPr>
      <w:r>
        <w:rPr>
          <w:rFonts w:ascii="Arial" w:hAnsi="Arial" w:cs="Arial"/>
          <w:b/>
          <w:bCs/>
          <w:color w:val="000000"/>
          <w:sz w:val="20"/>
          <w:szCs w:val="20"/>
          <w:u w:val="single"/>
        </w:rPr>
        <w:t>Compliance Function and Role of Chief Compliance Officer (CCO)-</w:t>
      </w:r>
      <w:r>
        <w:rPr>
          <w:rFonts w:ascii="Arial" w:hAnsi="Arial" w:cs="Arial"/>
          <w:b/>
          <w:bCs/>
          <w:color w:val="000000"/>
          <w:sz w:val="20"/>
          <w:szCs w:val="20"/>
          <w:u w:val="single"/>
        </w:rPr>
        <w:br/>
        <w:t>Urban Co-operative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As part of the overall structure for Corporate Governance, the Compliance Function serves a critical role. Therefore, it has been decided to introduce certain principles, standards and procedures for Compliance Function in UCBs, keeping in view the principles of proportionality. Accordingly, this Circular shall be applicable to all UCBs under Tier 3 and Tier 4 categories</w:t>
      </w:r>
      <w:hyperlink r:id="rId101" w:anchor="FN1" w:history="1">
        <w:r>
          <w:rPr>
            <w:rStyle w:val="Hyperlink"/>
            <w:rFonts w:ascii="Arial" w:hAnsi="Arial" w:cs="Arial"/>
            <w:sz w:val="15"/>
            <w:szCs w:val="15"/>
            <w:vertAlign w:val="superscript"/>
          </w:rPr>
          <w:t>1</w:t>
        </w:r>
      </w:hyperlink>
      <w:r>
        <w:rPr>
          <w:rFonts w:ascii="Arial" w:hAnsi="Arial" w:cs="Arial"/>
          <w:color w:val="000000"/>
          <w:sz w:val="20"/>
          <w:szCs w:val="20"/>
        </w:rPr>
        <w:t> except UCBs under All Inclusive Directions (AID)</w:t>
      </w:r>
      <w:hyperlink r:id="rId102" w:anchor="FN2" w:history="1">
        <w:r>
          <w:rPr>
            <w:rStyle w:val="Hyperlink"/>
            <w:rFonts w:ascii="Arial" w:hAnsi="Arial" w:cs="Arial"/>
            <w:sz w:val="15"/>
            <w:szCs w:val="15"/>
            <w:vertAlign w:val="superscript"/>
          </w:rPr>
          <w:t>2</w:t>
        </w:r>
      </w:hyperlink>
      <w:r>
        <w:rPr>
          <w:rFonts w:ascii="Arial" w:hAnsi="Arial" w:cs="Arial"/>
          <w:color w:val="000000"/>
          <w:sz w:val="20"/>
          <w:szCs w:val="20"/>
        </w:rPr>
        <w:t>. UCBs under Tier 1 and Tier 2 categories shall continue to be governed under the existing guidelines</w:t>
      </w:r>
      <w:hyperlink r:id="rId103" w:anchor="FN3" w:history="1">
        <w:r>
          <w:rPr>
            <w:rStyle w:val="Hyperlink"/>
            <w:rFonts w:ascii="Arial" w:hAnsi="Arial" w:cs="Arial"/>
            <w:sz w:val="15"/>
            <w:szCs w:val="15"/>
            <w:vertAlign w:val="superscript"/>
          </w:rPr>
          <w:t>3</w:t>
        </w:r>
      </w:hyperlink>
      <w:r>
        <w:rPr>
          <w:rFonts w:ascii="Arial" w:hAnsi="Arial" w:cs="Arial"/>
          <w:color w:val="000000"/>
          <w:sz w:val="20"/>
          <w:szCs w:val="20"/>
        </w:rPr>
        <w:t>.</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The UCBs under Tier 4 category shall put in place a Board-approved policy and a Compliance Function, including the appointment of a Chief Compliance Officer (CCO), based on the Framework given in the </w:t>
      </w:r>
      <w:hyperlink r:id="rId104" w:anchor="AN" w:history="1">
        <w:r>
          <w:rPr>
            <w:rStyle w:val="Hyperlink"/>
            <w:rFonts w:ascii="Arial" w:hAnsi="Arial" w:cs="Arial"/>
            <w:sz w:val="20"/>
            <w:szCs w:val="20"/>
          </w:rPr>
          <w:t>Annex</w:t>
        </w:r>
      </w:hyperlink>
      <w:r>
        <w:rPr>
          <w:rFonts w:ascii="Arial" w:hAnsi="Arial" w:cs="Arial"/>
          <w:color w:val="000000"/>
          <w:sz w:val="20"/>
          <w:szCs w:val="20"/>
        </w:rPr>
        <w:t>, latest by April 1, 2023. The UCBs under Tier 3 category shall implement the same latest by October 1, 2023.</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3. This Circular shall be placed in the immediate next meeting of the Board of Directors for information and devising an implementation strategy, under the Board’s supervision, in a time-bound manner.</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Tarun</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w:t>
      </w: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r>
        <w:t>More details can be referred to in the below link.</w:t>
      </w:r>
    </w:p>
    <w:p w:rsidR="0001090D" w:rsidRDefault="0001090D" w:rsidP="0001090D">
      <w:pPr>
        <w:rPr>
          <w:rFonts w:ascii="Arial" w:hAnsi="Arial" w:cs="Arial"/>
          <w:bCs/>
          <w:color w:val="000000"/>
          <w:sz w:val="20"/>
          <w:szCs w:val="20"/>
        </w:rPr>
      </w:pPr>
      <w:r>
        <w:rPr>
          <w:rFonts w:ascii="Arial" w:hAnsi="Arial" w:cs="Arial"/>
          <w:bCs/>
          <w:color w:val="000000"/>
          <w:sz w:val="20"/>
          <w:szCs w:val="20"/>
        </w:rPr>
        <w:t xml:space="preserve">Reference Link: </w:t>
      </w:r>
      <w:hyperlink r:id="rId105" w:history="1">
        <w:r w:rsidRPr="00735218">
          <w:rPr>
            <w:rStyle w:val="Hyperlink"/>
            <w:rFonts w:ascii="Arial" w:hAnsi="Arial" w:cs="Arial"/>
            <w:bCs/>
            <w:sz w:val="20"/>
            <w:szCs w:val="20"/>
          </w:rPr>
          <w:t>https://rbi.org.in/Scripts/NotificationUser.aspx?Id=12389&amp;Mode=0</w:t>
        </w:r>
      </w:hyperlink>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spacing w:after="0"/>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1090D" w:rsidRDefault="0001090D" w:rsidP="0001090D">
      <w:pPr>
        <w:spacing w:after="0"/>
        <w:rPr>
          <w:rFonts w:ascii="Arial" w:hAnsi="Arial" w:cs="Arial"/>
          <w:b/>
          <w:bCs/>
          <w:color w:val="000000"/>
          <w:sz w:val="20"/>
          <w:szCs w:val="20"/>
        </w:rPr>
      </w:pP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September 30,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 / Sir</w:t>
      </w:r>
    </w:p>
    <w:p w:rsidR="0001090D" w:rsidRDefault="0001090D" w:rsidP="0001090D">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44"/>
        <w:gridCol w:w="1885"/>
      </w:tblGrid>
      <w:tr w:rsidR="0001090D" w:rsidTr="00C96881">
        <w:tc>
          <w:tcPr>
            <w:tcW w:w="524" w:type="pct"/>
            <w:tcMar>
              <w:top w:w="0" w:type="dxa"/>
              <w:left w:w="45" w:type="dxa"/>
              <w:bottom w:w="0" w:type="dxa"/>
              <w:right w:w="45" w:type="dxa"/>
            </w:tcMar>
            <w:vAlign w:val="center"/>
            <w:hideMark/>
          </w:tcPr>
          <w:p w:rsidR="0001090D" w:rsidRDefault="0001090D" w:rsidP="00C96881">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309" w:type="pct"/>
            <w:tcMar>
              <w:top w:w="0" w:type="dxa"/>
              <w:left w:w="45" w:type="dxa"/>
              <w:bottom w:w="0" w:type="dxa"/>
              <w:right w:w="45" w:type="dxa"/>
            </w:tcMar>
            <w:vAlign w:val="center"/>
            <w:hideMark/>
          </w:tcPr>
          <w:p w:rsidR="0001090D" w:rsidRDefault="0001090D" w:rsidP="00C96881">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167" w:type="pct"/>
            <w:tcMar>
              <w:top w:w="0" w:type="dxa"/>
              <w:left w:w="45" w:type="dxa"/>
              <w:bottom w:w="0" w:type="dxa"/>
              <w:right w:w="45" w:type="dxa"/>
            </w:tcMar>
            <w:vAlign w:val="center"/>
            <w:hideMark/>
          </w:tcPr>
          <w:p w:rsidR="0001090D" w:rsidRDefault="0001090D" w:rsidP="00C96881">
            <w:pPr>
              <w:jc w:val="center"/>
              <w:rPr>
                <w:rFonts w:ascii="Arial" w:hAnsi="Arial" w:cs="Arial"/>
                <w:b/>
                <w:bCs/>
                <w:color w:val="000000"/>
                <w:sz w:val="20"/>
                <w:szCs w:val="20"/>
              </w:rPr>
            </w:pPr>
            <w:r>
              <w:rPr>
                <w:rFonts w:ascii="Arial" w:hAnsi="Arial" w:cs="Arial"/>
                <w:b/>
                <w:bCs/>
                <w:color w:val="000000"/>
                <w:sz w:val="20"/>
                <w:szCs w:val="20"/>
              </w:rPr>
              <w:t>LSF Amount (INR)</w:t>
            </w:r>
          </w:p>
        </w:tc>
      </w:tr>
      <w:tr w:rsidR="0001090D" w:rsidTr="00C96881">
        <w:tc>
          <w:tcPr>
            <w:tcW w:w="524" w:type="pct"/>
            <w:tcMar>
              <w:top w:w="0" w:type="dxa"/>
              <w:left w:w="45" w:type="dxa"/>
              <w:bottom w:w="0" w:type="dxa"/>
              <w:right w:w="45" w:type="dxa"/>
            </w:tcMar>
            <w:vAlign w:val="center"/>
            <w:hideMark/>
          </w:tcPr>
          <w:p w:rsidR="0001090D" w:rsidRDefault="0001090D" w:rsidP="00C96881">
            <w:pPr>
              <w:jc w:val="center"/>
              <w:rPr>
                <w:rFonts w:ascii="Arial" w:hAnsi="Arial" w:cs="Arial"/>
                <w:color w:val="000000"/>
                <w:sz w:val="20"/>
                <w:szCs w:val="20"/>
              </w:rPr>
            </w:pPr>
            <w:r>
              <w:rPr>
                <w:rFonts w:ascii="Arial" w:hAnsi="Arial" w:cs="Arial"/>
                <w:color w:val="000000"/>
                <w:sz w:val="20"/>
                <w:szCs w:val="20"/>
              </w:rPr>
              <w:t>1</w:t>
            </w:r>
          </w:p>
        </w:tc>
        <w:tc>
          <w:tcPr>
            <w:tcW w:w="3309" w:type="pct"/>
            <w:tcMar>
              <w:top w:w="0" w:type="dxa"/>
              <w:left w:w="45" w:type="dxa"/>
              <w:bottom w:w="0" w:type="dxa"/>
              <w:right w:w="45" w:type="dxa"/>
            </w:tcMar>
            <w:vAlign w:val="center"/>
            <w:hideMark/>
          </w:tcPr>
          <w:p w:rsidR="0001090D" w:rsidRDefault="0001090D" w:rsidP="00C96881">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167" w:type="pct"/>
            <w:tcMar>
              <w:top w:w="0" w:type="dxa"/>
              <w:left w:w="45" w:type="dxa"/>
              <w:bottom w:w="0" w:type="dxa"/>
              <w:right w:w="45" w:type="dxa"/>
            </w:tcMar>
            <w:vAlign w:val="center"/>
            <w:hideMark/>
          </w:tcPr>
          <w:p w:rsidR="0001090D" w:rsidRDefault="0001090D" w:rsidP="00C96881">
            <w:pPr>
              <w:jc w:val="center"/>
              <w:rPr>
                <w:rFonts w:ascii="Arial" w:hAnsi="Arial" w:cs="Arial"/>
                <w:color w:val="000000"/>
                <w:sz w:val="20"/>
                <w:szCs w:val="20"/>
              </w:rPr>
            </w:pPr>
            <w:r>
              <w:rPr>
                <w:rFonts w:ascii="Arial" w:hAnsi="Arial" w:cs="Arial"/>
                <w:color w:val="000000"/>
                <w:sz w:val="20"/>
                <w:szCs w:val="20"/>
              </w:rPr>
              <w:t>7500</w:t>
            </w:r>
          </w:p>
        </w:tc>
      </w:tr>
      <w:tr w:rsidR="0001090D" w:rsidTr="00C96881">
        <w:tc>
          <w:tcPr>
            <w:tcW w:w="524" w:type="pct"/>
            <w:tcMar>
              <w:top w:w="0" w:type="dxa"/>
              <w:left w:w="45" w:type="dxa"/>
              <w:bottom w:w="0" w:type="dxa"/>
              <w:right w:w="45" w:type="dxa"/>
            </w:tcMar>
            <w:vAlign w:val="center"/>
            <w:hideMark/>
          </w:tcPr>
          <w:p w:rsidR="0001090D" w:rsidRDefault="0001090D" w:rsidP="00C96881">
            <w:pPr>
              <w:jc w:val="center"/>
              <w:rPr>
                <w:rFonts w:ascii="Arial" w:hAnsi="Arial" w:cs="Arial"/>
                <w:color w:val="000000"/>
                <w:sz w:val="20"/>
                <w:szCs w:val="20"/>
              </w:rPr>
            </w:pPr>
            <w:r>
              <w:rPr>
                <w:rFonts w:ascii="Arial" w:hAnsi="Arial" w:cs="Arial"/>
                <w:color w:val="000000"/>
                <w:sz w:val="20"/>
                <w:szCs w:val="20"/>
              </w:rPr>
              <w:t>2</w:t>
            </w:r>
          </w:p>
        </w:tc>
        <w:tc>
          <w:tcPr>
            <w:tcW w:w="3309" w:type="pct"/>
            <w:tcMar>
              <w:top w:w="0" w:type="dxa"/>
              <w:left w:w="45" w:type="dxa"/>
              <w:bottom w:w="0" w:type="dxa"/>
              <w:right w:w="45" w:type="dxa"/>
            </w:tcMar>
            <w:vAlign w:val="center"/>
            <w:hideMark/>
          </w:tcPr>
          <w:p w:rsidR="0001090D" w:rsidRDefault="0001090D" w:rsidP="00C96881">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167" w:type="pct"/>
            <w:tcMar>
              <w:top w:w="0" w:type="dxa"/>
              <w:left w:w="45" w:type="dxa"/>
              <w:bottom w:w="0" w:type="dxa"/>
              <w:right w:w="45" w:type="dxa"/>
            </w:tcMar>
            <w:vAlign w:val="center"/>
            <w:hideMark/>
          </w:tcPr>
          <w:p w:rsidR="0001090D" w:rsidRDefault="0001090D" w:rsidP="00C96881">
            <w:pPr>
              <w:jc w:val="center"/>
              <w:rPr>
                <w:rFonts w:ascii="Arial" w:hAnsi="Arial" w:cs="Arial"/>
                <w:color w:val="000000"/>
                <w:sz w:val="20"/>
                <w:szCs w:val="20"/>
              </w:rPr>
            </w:pPr>
            <w:r>
              <w:rPr>
                <w:rFonts w:ascii="Arial" w:hAnsi="Arial" w:cs="Arial"/>
                <w:color w:val="000000"/>
                <w:sz w:val="20"/>
                <w:szCs w:val="20"/>
              </w:rPr>
              <w:t>[7500 + (0.025% × A × n)]</w:t>
            </w:r>
          </w:p>
        </w:tc>
      </w:tr>
    </w:tbl>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4. The ‘</w:t>
      </w:r>
      <w:hyperlink r:id="rId106"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107"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01090D" w:rsidRDefault="0001090D" w:rsidP="0001090D">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01090D" w:rsidRDefault="0001090D" w:rsidP="0001090D">
      <w:pPr>
        <w:spacing w:after="0"/>
        <w:rPr>
          <w:rFonts w:ascii="Arial" w:hAnsi="Arial" w:cs="Arial"/>
          <w:b/>
          <w:bCs/>
          <w:color w:val="000000"/>
          <w:sz w:val="20"/>
          <w:szCs w:val="20"/>
        </w:rPr>
      </w:pPr>
    </w:p>
    <w:p w:rsidR="0001090D" w:rsidRDefault="0001090D" w:rsidP="0001090D">
      <w:pPr>
        <w:spacing w:after="0"/>
        <w:rPr>
          <w:rFonts w:ascii="Arial" w:hAnsi="Arial" w:cs="Arial"/>
          <w:b/>
          <w:bCs/>
          <w:color w:val="000000"/>
          <w:sz w:val="20"/>
          <w:szCs w:val="20"/>
        </w:rPr>
      </w:pPr>
    </w:p>
    <w:p w:rsidR="0001090D" w:rsidRPr="00435B25" w:rsidRDefault="0001090D" w:rsidP="0001090D">
      <w:pPr>
        <w:spacing w:after="0"/>
        <w:rPr>
          <w:rFonts w:ascii="Arial" w:hAnsi="Arial" w:cs="Arial"/>
          <w:sz w:val="20"/>
          <w:szCs w:val="20"/>
        </w:rPr>
      </w:pPr>
      <w:r w:rsidRPr="00435B25">
        <w:rPr>
          <w:rFonts w:ascii="Arial" w:hAnsi="Arial" w:cs="Arial"/>
          <w:sz w:val="20"/>
          <w:szCs w:val="20"/>
        </w:rPr>
        <w:t>More details can be referred to in the below link.</w:t>
      </w:r>
    </w:p>
    <w:p w:rsidR="0001090D" w:rsidRDefault="0001090D" w:rsidP="0001090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08" w:history="1">
        <w:r w:rsidRPr="009517FA">
          <w:rPr>
            <w:rStyle w:val="Hyperlink"/>
            <w:rFonts w:ascii="Arial" w:hAnsi="Arial" w:cs="Arial"/>
            <w:sz w:val="20"/>
            <w:szCs w:val="20"/>
          </w:rPr>
          <w:t>https://www.rbi.org.in/scripts/NotificationUser.aspx?Id=12393&amp;Mode=0</w:t>
        </w:r>
      </w:hyperlink>
    </w:p>
    <w:p w:rsidR="0001090D" w:rsidRDefault="0001090D" w:rsidP="0001090D">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RBI/2022-23/124</w:t>
      </w:r>
      <w:r>
        <w:rPr>
          <w:rFonts w:ascii="Arial" w:hAnsi="Arial" w:cs="Arial"/>
          <w:color w:val="000000"/>
          <w:sz w:val="20"/>
          <w:szCs w:val="20"/>
        </w:rPr>
        <w:br/>
        <w:t>CEPD.PRD.No.S806/13-01-008/2022-23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October 6, 2022</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All Credit Information Companies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 Sir,</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Appointment of Internal Ombudsman by the Credit Information Companies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paragraph 2 of the </w:t>
      </w:r>
      <w:hyperlink r:id="rId109" w:tgtFrame="_blank" w:history="1">
        <w:r>
          <w:rPr>
            <w:rStyle w:val="Hyperlink"/>
            <w:rFonts w:ascii="Arial" w:hAnsi="Arial" w:cs="Arial"/>
            <w:sz w:val="20"/>
            <w:szCs w:val="20"/>
          </w:rPr>
          <w:t>Statement on Developmental and Regulatory Policies dated August 5, 2022</w:t>
        </w:r>
      </w:hyperlink>
      <w:r>
        <w:rPr>
          <w:rFonts w:ascii="Arial" w:hAnsi="Arial" w:cs="Arial"/>
          <w:color w:val="000000"/>
          <w:sz w:val="20"/>
          <w:szCs w:val="20"/>
        </w:rPr>
        <w:t xml:space="preserve">, wherein the decision to bring Credit Information Companies (CICs) under the Internal Ombudsman (IO) Framework was announced with a view to strengthen and improve the efficiency of the internal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mechanisms of CICs.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by sub section (1) of Section 11 of the Credit Information Companies (Regulation) Act, 2005 (the Act), the Reserve Bank of India, being satisfied that it is in public interest to do so, directs all Credit Information Companies holding a Certificate of Registration under sub-section (2) of Section 5 of the Act, to comply with the Reserve Bank of India (Credit Information Companies- Internal Ombudsman) Directions, 2022 </w:t>
      </w:r>
      <w:hyperlink r:id="rId110" w:anchor="AN" w:history="1">
        <w:r>
          <w:rPr>
            <w:rStyle w:val="Hyperlink"/>
            <w:rFonts w:ascii="Arial" w:hAnsi="Arial" w:cs="Arial"/>
            <w:sz w:val="20"/>
            <w:szCs w:val="20"/>
          </w:rPr>
          <w:t>annexed</w:t>
        </w:r>
      </w:hyperlink>
      <w:r>
        <w:rPr>
          <w:rFonts w:ascii="Arial" w:hAnsi="Arial" w:cs="Arial"/>
          <w:color w:val="000000"/>
          <w:sz w:val="20"/>
          <w:szCs w:val="20"/>
        </w:rPr>
        <w:t> herewith, by April 1, 2023.</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Pr="00435B25" w:rsidRDefault="0001090D" w:rsidP="0001090D">
      <w:pPr>
        <w:spacing w:after="0"/>
        <w:rPr>
          <w:rFonts w:ascii="Arial" w:hAnsi="Arial" w:cs="Arial"/>
          <w:sz w:val="20"/>
          <w:szCs w:val="20"/>
        </w:rPr>
      </w:pPr>
      <w:r w:rsidRPr="00435B25">
        <w:rPr>
          <w:rFonts w:ascii="Arial" w:hAnsi="Arial" w:cs="Arial"/>
          <w:sz w:val="20"/>
          <w:szCs w:val="20"/>
        </w:rPr>
        <w:t>More details can be referred to in the below link.</w:t>
      </w:r>
    </w:p>
    <w:p w:rsidR="0001090D" w:rsidRDefault="0001090D" w:rsidP="0001090D">
      <w:pPr>
        <w:rPr>
          <w:rFonts w:ascii="Arial" w:hAnsi="Arial" w:cs="Arial"/>
          <w:bCs/>
          <w:color w:val="000000"/>
          <w:sz w:val="20"/>
          <w:szCs w:val="20"/>
        </w:rPr>
      </w:pPr>
      <w:r w:rsidRPr="00435B25">
        <w:rPr>
          <w:rFonts w:ascii="Arial" w:hAnsi="Arial" w:cs="Arial"/>
          <w:sz w:val="20"/>
          <w:szCs w:val="20"/>
        </w:rPr>
        <w:t>Reference Link:</w:t>
      </w:r>
      <w:r>
        <w:rPr>
          <w:rFonts w:ascii="Arial" w:hAnsi="Arial" w:cs="Arial"/>
          <w:b/>
          <w:bCs/>
          <w:color w:val="000000"/>
          <w:sz w:val="20"/>
          <w:szCs w:val="20"/>
        </w:rPr>
        <w:t xml:space="preserve"> </w:t>
      </w:r>
      <w:hyperlink r:id="rId111" w:history="1">
        <w:r w:rsidRPr="009517FA">
          <w:rPr>
            <w:rStyle w:val="Hyperlink"/>
            <w:rFonts w:ascii="Arial" w:hAnsi="Arial" w:cs="Arial"/>
            <w:bCs/>
            <w:sz w:val="20"/>
            <w:szCs w:val="20"/>
          </w:rPr>
          <w:t>https://www.rbi.org.in/Scripts/NotificationUser.aspx?Id=12395&amp;Mode=0</w:t>
        </w:r>
      </w:hyperlink>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
          <w:bCs/>
          <w:color w:val="000000"/>
          <w:sz w:val="20"/>
          <w:szCs w:val="20"/>
        </w:rPr>
      </w:pPr>
    </w:p>
    <w:p w:rsidR="0001090D" w:rsidRDefault="0001090D" w:rsidP="0001090D">
      <w:pPr>
        <w:rPr>
          <w:rFonts w:ascii="Arial" w:hAnsi="Arial" w:cs="Arial"/>
          <w:bCs/>
          <w:color w:val="000000"/>
          <w:sz w:val="20"/>
          <w:szCs w:val="20"/>
        </w:rPr>
      </w:pPr>
    </w:p>
    <w:p w:rsidR="0001090D" w:rsidRDefault="0001090D" w:rsidP="0001090D">
      <w:pPr>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01090D" w:rsidRDefault="0001090D" w:rsidP="0001090D">
      <w:pPr>
        <w:pStyle w:val="NormalWeb"/>
        <w:jc w:val="right"/>
        <w:rPr>
          <w:rFonts w:ascii="Arial" w:hAnsi="Arial" w:cs="Arial"/>
          <w:color w:val="000000"/>
          <w:sz w:val="20"/>
          <w:szCs w:val="20"/>
        </w:rPr>
      </w:pPr>
      <w:r>
        <w:rPr>
          <w:rFonts w:ascii="Arial" w:hAnsi="Arial" w:cs="Arial"/>
          <w:color w:val="000000"/>
          <w:sz w:val="20"/>
          <w:szCs w:val="20"/>
        </w:rPr>
        <w:t>October 10, 2022</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Madam/Dear Sir,</w:t>
      </w:r>
    </w:p>
    <w:p w:rsidR="0001090D" w:rsidRDefault="0001090D" w:rsidP="0001090D">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Please refer to paragraph 6.8.1 (i) of </w:t>
      </w:r>
      <w:hyperlink r:id="rId112"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01090D" w:rsidRDefault="0001090D" w:rsidP="0001090D">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01090D" w:rsidRDefault="0001090D" w:rsidP="0001090D">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01090D" w:rsidRDefault="0001090D" w:rsidP="000109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r>
        <w:t>More details can be referred to in the below link.</w:t>
      </w:r>
    </w:p>
    <w:p w:rsidR="0001090D" w:rsidRDefault="0001090D" w:rsidP="0001090D">
      <w:pPr>
        <w:rPr>
          <w:rFonts w:ascii="Arial" w:hAnsi="Arial" w:cs="Arial"/>
          <w:bCs/>
          <w:color w:val="000000"/>
          <w:sz w:val="20"/>
          <w:szCs w:val="20"/>
        </w:rPr>
      </w:pPr>
      <w:r>
        <w:rPr>
          <w:rFonts w:ascii="Arial" w:hAnsi="Arial" w:cs="Arial"/>
          <w:bCs/>
          <w:color w:val="000000"/>
          <w:sz w:val="20"/>
          <w:szCs w:val="20"/>
        </w:rPr>
        <w:t xml:space="preserve">Reference Link: </w:t>
      </w:r>
      <w:hyperlink r:id="rId113" w:history="1">
        <w:r w:rsidRPr="00B27270">
          <w:rPr>
            <w:rStyle w:val="Hyperlink"/>
            <w:rFonts w:ascii="Arial" w:hAnsi="Arial" w:cs="Arial"/>
            <w:bCs/>
            <w:sz w:val="20"/>
            <w:szCs w:val="20"/>
          </w:rPr>
          <w:t>https://www.rbi.org.in/Scripts/NotificationUser.aspx?Id=12396&amp;Mode=0</w:t>
        </w:r>
      </w:hyperlink>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sz w:val="20"/>
          <w:szCs w:val="20"/>
        </w:rPr>
      </w:pPr>
    </w:p>
    <w:p w:rsidR="0001090D" w:rsidRDefault="0001090D"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RBI/2022-23/126</w:t>
      </w:r>
      <w:r>
        <w:rPr>
          <w:rFonts w:ascii="Arial" w:hAnsi="Arial" w:cs="Arial"/>
          <w:color w:val="000000"/>
          <w:sz w:val="20"/>
          <w:szCs w:val="20"/>
        </w:rPr>
        <w:br/>
        <w:t>DOR.FIN.REC.No.72/03.10.117/2022-23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Dear Sir/ Madam,</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 reference is invited to </w:t>
      </w:r>
      <w:hyperlink r:id="rId114" w:tgtFrame="_blank" w:history="1">
        <w:r>
          <w:rPr>
            <w:rStyle w:val="Hyperlink"/>
            <w:rFonts w:ascii="Arial" w:hAnsi="Arial" w:cs="Arial"/>
            <w:sz w:val="20"/>
            <w:szCs w:val="20"/>
          </w:rPr>
          <w:t>circular DNBR (PD) CC.No.094/03.10.001/2018-19 dated July 27, 2018</w:t>
        </w:r>
      </w:hyperlink>
      <w:r>
        <w:rPr>
          <w:rFonts w:ascii="Arial" w:hAnsi="Arial" w:cs="Arial"/>
          <w:color w:val="000000"/>
          <w:sz w:val="20"/>
          <w:szCs w:val="20"/>
        </w:rPr>
        <w:t> in terms of which SPDs, as part of their non-core activities, are permitted to offer foreign exchange products, as allowed from time to time, to their Foreign Portfolio Investor (FPI) clients.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115" w:anchor="AN1" w:history="1">
        <w:r>
          <w:rPr>
            <w:rStyle w:val="Hyperlink"/>
            <w:rFonts w:ascii="Arial" w:hAnsi="Arial" w:cs="Arial"/>
            <w:sz w:val="20"/>
            <w:szCs w:val="20"/>
          </w:rPr>
          <w:t>Para 3 annexed</w:t>
        </w:r>
      </w:hyperlink>
      <w:r>
        <w:rPr>
          <w:rFonts w:ascii="Arial" w:hAnsi="Arial" w:cs="Arial"/>
          <w:color w:val="000000"/>
          <w:sz w:val="20"/>
          <w:szCs w:val="20"/>
        </w:rPr>
        <w:t>) dated August 05, 2022, it has been decided to allow SPDs to offer all foreign exchange market-making facilities to users, as currently permitted to Category-I Authorized Dealers, subject to adherence to the prudential regulations and other guidelines to be issued separately in this regard.</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Further, with effect from January 01, 2023 all financial transactions involving the Rupee undertaken globally by related entities of the SPD shall be reported to CCIL’s Trade Repository before 12:00 noon of the business day following the date of transaction.</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SPDs shall comply with other regulations contained in the aforementioned </w:t>
      </w:r>
      <w:hyperlink r:id="rId116" w:tgtFrame="_blank" w:history="1">
        <w:r>
          <w:rPr>
            <w:rStyle w:val="Hyperlink"/>
            <w:rFonts w:ascii="Arial" w:hAnsi="Arial" w:cs="Arial"/>
            <w:sz w:val="20"/>
            <w:szCs w:val="20"/>
          </w:rPr>
          <w:t>circular dated July 27, 2018</w:t>
        </w:r>
      </w:hyperlink>
      <w:r>
        <w:rPr>
          <w:rFonts w:ascii="Arial" w:hAnsi="Arial" w:cs="Arial"/>
          <w:color w:val="000000"/>
          <w:sz w:val="20"/>
          <w:szCs w:val="20"/>
        </w:rPr>
        <w:t> and prudential regulations issued by Reserve Bank from time to time. Further, all the instructions contained in the </w:t>
      </w:r>
      <w:hyperlink r:id="rId117" w:tgtFrame="_blank" w:history="1">
        <w:r>
          <w:rPr>
            <w:rStyle w:val="Hyperlink"/>
            <w:rFonts w:ascii="Arial" w:hAnsi="Arial" w:cs="Arial"/>
            <w:sz w:val="20"/>
            <w:szCs w:val="20"/>
          </w:rPr>
          <w:t>Master Direction – Reserve Bank of India (Market-makers in OTC Derivatives) Directions, 2021 (FMRD.FMD.07/02.03.247/2021-22) dated September 16, 2021</w:t>
        </w:r>
      </w:hyperlink>
      <w:r>
        <w:rPr>
          <w:rFonts w:ascii="Arial" w:hAnsi="Arial" w:cs="Arial"/>
          <w:color w:val="000000"/>
          <w:sz w:val="20"/>
          <w:szCs w:val="20"/>
        </w:rPr>
        <w:t> shall also apply, mutatis-mutandis, to SPDs.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 </w:t>
      </w:r>
      <w:hyperlink r:id="rId118"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is being modified accordingly.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C96881" w:rsidRDefault="00C96881" w:rsidP="00C96881">
      <w:pPr>
        <w:rPr>
          <w:rFonts w:ascii="Arial" w:hAnsi="Arial" w:cs="Arial"/>
          <w:b/>
          <w:bCs/>
          <w:color w:val="000000"/>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19" w:history="1">
        <w:r w:rsidRPr="009A1791">
          <w:rPr>
            <w:rStyle w:val="Hyperlink"/>
            <w:rFonts w:ascii="Arial" w:hAnsi="Arial" w:cs="Arial"/>
            <w:bCs/>
            <w:sz w:val="20"/>
            <w:szCs w:val="20"/>
          </w:rPr>
          <w:t>https://www.rbi.org.in/scripts/NotificationUser.aspx?Id=12397&amp;Mode=0</w:t>
        </w:r>
      </w:hyperlink>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 – Prudential regulations and other instructions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RBI/2022-23/127</w:t>
      </w:r>
      <w:r>
        <w:rPr>
          <w:rFonts w:ascii="Arial" w:hAnsi="Arial" w:cs="Arial"/>
          <w:color w:val="000000"/>
          <w:sz w:val="20"/>
          <w:szCs w:val="20"/>
        </w:rPr>
        <w:br/>
        <w:t>DOR.FIN.REC.No.73/03.10.117/2022-23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Dear Sir/ Madam,</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 – Prudential regulations and other instructions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20" w:tgtFrame="_blank" w:history="1">
        <w:r>
          <w:rPr>
            <w:rStyle w:val="Hyperlink"/>
            <w:rFonts w:ascii="Arial" w:hAnsi="Arial" w:cs="Arial"/>
            <w:sz w:val="20"/>
            <w:szCs w:val="20"/>
          </w:rPr>
          <w:t>circular DOR.FIN.REC.No.72/03.10.117/2022-23 dated October 11, 2022</w:t>
        </w:r>
      </w:hyperlink>
      <w:r>
        <w:rPr>
          <w:rFonts w:ascii="Arial" w:hAnsi="Arial" w:cs="Arial"/>
          <w:color w:val="000000"/>
          <w:sz w:val="20"/>
          <w:szCs w:val="20"/>
        </w:rPr>
        <w:t> allowing SPDs to undertake foreign exchange activities as part of their non-core activities. In this connection, SPDs shall adhere to the prudential regulations and other instructions contained in this circular and other associated guidelines applicable to SPDs.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The foreign exchange activities permitted to SPDs shall continue to be part of their non-core activity. SPDs desirous of undertaking this activity may approach the Reserve Bank of India, Foreign Exchange Department, Central Office, Mumbai for necessary authorization. It may be noted that in case of failure of SPDs to meet the obligations of Primary Dealership (PD) business in the Government securities market or any other violations on regulations on conducting the PD business, the Reserve Bank reserves the right to impose restrictions or withdraw permission to undertake the foreign exchange business.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The SPDs shall adhere to the following prudential regulations:</w:t>
      </w:r>
    </w:p>
    <w:p w:rsidR="00C96881" w:rsidRDefault="00C96881" w:rsidP="00DA1141">
      <w:pPr>
        <w:pStyle w:val="NormalWeb"/>
        <w:numPr>
          <w:ilvl w:val="0"/>
          <w:numId w:val="13"/>
        </w:numPr>
        <w:ind w:left="0"/>
        <w:jc w:val="both"/>
        <w:rPr>
          <w:rFonts w:ascii="Arial" w:hAnsi="Arial" w:cs="Arial"/>
          <w:color w:val="000000"/>
          <w:sz w:val="20"/>
          <w:szCs w:val="20"/>
        </w:rPr>
      </w:pPr>
      <w:r>
        <w:rPr>
          <w:rFonts w:ascii="Arial" w:hAnsi="Arial" w:cs="Arial"/>
          <w:color w:val="000000"/>
          <w:sz w:val="20"/>
          <w:szCs w:val="20"/>
        </w:rPr>
        <w:t>As prescribed in the existing capital adequacy guidelines for SPDs, the capital charge for market risk in foreign exchange exposures shall be higher of the charges worked out by the standardised approach and the internal risk management framework-based Value at Risk (</w:t>
      </w:r>
      <w:proofErr w:type="spellStart"/>
      <w:r>
        <w:rPr>
          <w:rFonts w:ascii="Arial" w:hAnsi="Arial" w:cs="Arial"/>
          <w:color w:val="000000"/>
          <w:sz w:val="20"/>
          <w:szCs w:val="20"/>
        </w:rPr>
        <w:t>VaR</w:t>
      </w:r>
      <w:proofErr w:type="spellEnd"/>
      <w:r>
        <w:rPr>
          <w:rFonts w:ascii="Arial" w:hAnsi="Arial" w:cs="Arial"/>
          <w:color w:val="000000"/>
          <w:sz w:val="20"/>
          <w:szCs w:val="20"/>
        </w:rPr>
        <w:t>) model. Further, under the standardised approach, SPDs shall maintain a market risk capital charge of 15% for net open positions (limits or actual, whichever is higher) arising out of forex business with a risk weight of 100%. The net open position for foreign exchange exposures shall be calculated as per the methodology prescribed in para 8.5 of </w:t>
      </w:r>
      <w:hyperlink r:id="rId121" w:tgtFrame="_blank" w:history="1">
        <w:r>
          <w:rPr>
            <w:rStyle w:val="Hyperlink"/>
            <w:rFonts w:ascii="Arial" w:hAnsi="Arial" w:cs="Arial"/>
            <w:sz w:val="20"/>
            <w:szCs w:val="20"/>
          </w:rPr>
          <w:t>Master Circular – Basel III Capital Regulations dated April 01, 2022</w:t>
        </w:r>
      </w:hyperlink>
      <w:r>
        <w:rPr>
          <w:rFonts w:ascii="Arial" w:hAnsi="Arial" w:cs="Arial"/>
          <w:color w:val="000000"/>
          <w:sz w:val="20"/>
          <w:szCs w:val="20"/>
        </w:rPr>
        <w:t> (as amended from time to time) to the extent applicable to SPDs. Capital charge for market risk shall be over &amp; above the capital charge for credit risk of 15% as per directions prescribed in </w:t>
      </w:r>
      <w:hyperlink r:id="rId122" w:tgtFrame="_blank" w:history="1">
        <w:r>
          <w:rPr>
            <w:rStyle w:val="Hyperlink"/>
            <w:rFonts w:ascii="Arial" w:hAnsi="Arial" w:cs="Arial"/>
            <w:sz w:val="20"/>
            <w:szCs w:val="20"/>
          </w:rPr>
          <w:t>Master Directions – Standalone Primary Dealers (Reserve Bank) Directions, 2016 dated August 23, 2016</w:t>
        </w:r>
      </w:hyperlink>
      <w:r>
        <w:rPr>
          <w:rFonts w:ascii="Arial" w:hAnsi="Arial" w:cs="Arial"/>
          <w:color w:val="000000"/>
          <w:sz w:val="20"/>
          <w:szCs w:val="20"/>
        </w:rPr>
        <w:t> (as amended from time to time).</w:t>
      </w:r>
    </w:p>
    <w:p w:rsidR="00C96881" w:rsidRDefault="00C96881" w:rsidP="00DA1141">
      <w:pPr>
        <w:pStyle w:val="NormalWeb"/>
        <w:numPr>
          <w:ilvl w:val="0"/>
          <w:numId w:val="13"/>
        </w:numPr>
        <w:ind w:left="0"/>
        <w:jc w:val="both"/>
        <w:rPr>
          <w:rFonts w:ascii="Arial" w:hAnsi="Arial" w:cs="Arial"/>
          <w:color w:val="000000"/>
          <w:sz w:val="20"/>
          <w:szCs w:val="20"/>
        </w:rPr>
      </w:pPr>
      <w:r>
        <w:rPr>
          <w:rFonts w:ascii="Arial" w:hAnsi="Arial" w:cs="Arial"/>
          <w:color w:val="000000"/>
          <w:sz w:val="20"/>
          <w:szCs w:val="20"/>
        </w:rPr>
        <w:t>In addition to the foreign exchange exposure limits prescribed under </w:t>
      </w:r>
      <w:hyperlink r:id="rId123" w:tgtFrame="_blank" w:history="1">
        <w:r>
          <w:rPr>
            <w:rStyle w:val="Hyperlink"/>
            <w:rFonts w:ascii="Arial" w:hAnsi="Arial" w:cs="Arial"/>
            <w:sz w:val="20"/>
            <w:szCs w:val="20"/>
          </w:rPr>
          <w:t>Master Direction – Risk Management &amp; Inter-Bank Dealings dated July 05, 2016</w:t>
        </w:r>
      </w:hyperlink>
      <w:r>
        <w:rPr>
          <w:rFonts w:ascii="Arial" w:hAnsi="Arial" w:cs="Arial"/>
          <w:color w:val="000000"/>
          <w:sz w:val="20"/>
          <w:szCs w:val="20"/>
        </w:rPr>
        <w:t> (as amended from time to time), the capital charge for market risk (calculated as per provisions of </w:t>
      </w:r>
      <w:hyperlink r:id="rId124"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for all the permissible non-core activities, including foreign exchange activities, shall not be more than 20% of the Net Owned Fund of the SPD as per last audited balance sheet.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r>
        <w:lastRenderedPageBreak/>
        <w:t>More details can be referred to in the below link.</w:t>
      </w:r>
    </w:p>
    <w:p w:rsidR="00C96881" w:rsidRDefault="00C96881" w:rsidP="00C96881">
      <w:pPr>
        <w:rPr>
          <w:rStyle w:val="Hyperlink"/>
          <w:rFonts w:ascii="Arial" w:hAnsi="Arial" w:cs="Arial"/>
          <w:bCs/>
          <w:sz w:val="20"/>
          <w:szCs w:val="20"/>
        </w:rPr>
      </w:pPr>
      <w:r>
        <w:rPr>
          <w:rFonts w:ascii="Arial" w:hAnsi="Arial" w:cs="Arial"/>
          <w:bCs/>
          <w:color w:val="000000"/>
          <w:sz w:val="20"/>
          <w:szCs w:val="20"/>
        </w:rPr>
        <w:t xml:space="preserve">Reference Link: </w:t>
      </w:r>
      <w:hyperlink r:id="rId125" w:history="1">
        <w:r w:rsidRPr="009A1791">
          <w:rPr>
            <w:rStyle w:val="Hyperlink"/>
            <w:rFonts w:ascii="Arial" w:hAnsi="Arial" w:cs="Arial"/>
            <w:bCs/>
            <w:sz w:val="20"/>
            <w:szCs w:val="20"/>
          </w:rPr>
          <w:t>https://m.rbi.org.in/scripts/FS_Notification.aspx?Id=12398&amp;fn=6&amp;Mode=0</w:t>
        </w:r>
      </w:hyperlink>
    </w:p>
    <w:p w:rsidR="00C96881" w:rsidRDefault="00C96881" w:rsidP="00C96881">
      <w:pPr>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RBI/2022-23/128</w:t>
      </w:r>
      <w:r>
        <w:rPr>
          <w:rFonts w:ascii="Arial" w:hAnsi="Arial" w:cs="Arial"/>
          <w:color w:val="000000"/>
          <w:sz w:val="20"/>
          <w:szCs w:val="20"/>
        </w:rPr>
        <w:br/>
        <w:t>DoR.SIG.FIN.REC.75/26.03.001/2022-23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Dear Sir/ Madam,</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ARCs play a vital role in the management of distressed financial assets of banks and financial institutions. Considering their critical role, a need was felt to review their functioning and operating framework. Accordingly, as part of the </w:t>
      </w:r>
      <w:hyperlink r:id="rId126"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along with the </w:t>
      </w:r>
      <w:hyperlink r:id="rId127" w:tgtFrame="_blank" w:history="1">
        <w:r>
          <w:rPr>
            <w:rStyle w:val="Hyperlink"/>
            <w:rFonts w:ascii="Arial" w:hAnsi="Arial" w:cs="Arial"/>
            <w:sz w:val="20"/>
            <w:szCs w:val="20"/>
          </w:rPr>
          <w:t>Monetary Policy Statement on April 7, 2021</w:t>
        </w:r>
      </w:hyperlink>
      <w:r>
        <w:rPr>
          <w:rFonts w:ascii="Arial" w:hAnsi="Arial" w:cs="Arial"/>
          <w:color w:val="000000"/>
          <w:sz w:val="20"/>
          <w:szCs w:val="20"/>
        </w:rPr>
        <w:t>, the Reserve Bank of India had set up a Committee to undertake a comprehensive review of the working of ARCs and recommend suitable measures for enabling them to function in a more transparent and efficient manner.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Based on the Committee’s recommendations and feedback from the stakeholders, the extant regulatory framework for ARCs has been amended as detailed in the </w:t>
      </w:r>
      <w:hyperlink r:id="rId128" w:anchor="AN1"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These guidelines shall be effective immediately or as indicated otherwise in the </w:t>
      </w:r>
      <w:hyperlink r:id="rId129" w:anchor="AN1"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30" w:history="1">
        <w:r w:rsidRPr="0062290B">
          <w:rPr>
            <w:rStyle w:val="Hyperlink"/>
            <w:rFonts w:ascii="Arial" w:hAnsi="Arial" w:cs="Arial"/>
            <w:bCs/>
            <w:sz w:val="20"/>
            <w:szCs w:val="20"/>
          </w:rPr>
          <w:t>https://m.rbi.org.in/Scripts/BS_CircularIndexDisplay.aspx?Id=12399</w:t>
        </w:r>
      </w:hyperlink>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spacing w:after="0"/>
        <w:rPr>
          <w:rFonts w:ascii="Arial" w:hAnsi="Arial" w:cs="Arial"/>
          <w:b/>
          <w:bCs/>
          <w:color w:val="000000"/>
          <w:sz w:val="20"/>
          <w:szCs w:val="20"/>
        </w:rPr>
      </w:pPr>
      <w:r>
        <w:rPr>
          <w:rFonts w:ascii="Arial" w:hAnsi="Arial" w:cs="Arial"/>
          <w:b/>
          <w:bCs/>
          <w:color w:val="000000"/>
          <w:sz w:val="20"/>
          <w:szCs w:val="20"/>
        </w:rPr>
        <w:t>Multiple NBFCs in a Group: Classification in Middle Layer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RBI/2022-23/129</w:t>
      </w:r>
      <w:r>
        <w:rPr>
          <w:rFonts w:ascii="Arial" w:hAnsi="Arial" w:cs="Arial"/>
          <w:color w:val="000000"/>
          <w:sz w:val="20"/>
          <w:szCs w:val="20"/>
        </w:rPr>
        <w:br/>
        <w:t>DOR.CRE.REC.No.78/03.10.001/2022-23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Non-Banking Financial Companies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u w:val="single"/>
        </w:rPr>
        <w:t>Multiple NBFCs in a Group: Classification in Middle Layer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para 1 of the Annex to the </w:t>
      </w:r>
      <w:hyperlink r:id="rId131" w:tgtFrame="_blank" w:history="1">
        <w:r>
          <w:rPr>
            <w:rStyle w:val="Hyperlink"/>
            <w:rFonts w:ascii="Arial" w:hAnsi="Arial" w:cs="Arial"/>
            <w:sz w:val="20"/>
            <w:szCs w:val="20"/>
          </w:rPr>
          <w:t>Circular on “Scale Based Regulation (SBR): A Revised Regulatory Framework for NBFCs” issued on October 22, 2021</w:t>
        </w:r>
      </w:hyperlink>
      <w:r>
        <w:rPr>
          <w:rFonts w:ascii="Arial" w:hAnsi="Arial" w:cs="Arial"/>
          <w:color w:val="000000"/>
          <w:sz w:val="20"/>
          <w:szCs w:val="20"/>
        </w:rPr>
        <w:t> delineating the four layered regulatory structure for NBFCs under Scale Based Regulatory Framework.</w:t>
      </w:r>
    </w:p>
    <w:p w:rsidR="00C96881" w:rsidRDefault="00C96881" w:rsidP="00C96881">
      <w:pPr>
        <w:pStyle w:val="NormalWeb"/>
        <w:jc w:val="both"/>
        <w:rPr>
          <w:rFonts w:ascii="Arial" w:hAnsi="Arial" w:cs="Arial"/>
          <w:color w:val="000000"/>
          <w:sz w:val="20"/>
          <w:szCs w:val="20"/>
        </w:rPr>
      </w:pPr>
      <w:r>
        <w:rPr>
          <w:rStyle w:val="head1"/>
          <w:rFonts w:ascii="Arial" w:hAnsi="Arial" w:cs="Arial"/>
          <w:b/>
          <w:bCs/>
          <w:color w:val="000000"/>
          <w:sz w:val="20"/>
          <w:szCs w:val="20"/>
        </w:rPr>
        <w:t>2.</w:t>
      </w:r>
      <w:r>
        <w:rPr>
          <w:rFonts w:ascii="Arial" w:hAnsi="Arial" w:cs="Arial"/>
          <w:color w:val="000000"/>
          <w:sz w:val="20"/>
          <w:szCs w:val="20"/>
        </w:rPr>
        <w:t> As per para 16 of the </w:t>
      </w:r>
      <w:hyperlink r:id="rId132" w:tgtFrame="_blank" w:history="1">
        <w:r>
          <w:rPr>
            <w:rStyle w:val="Hyperlink"/>
            <w:rFonts w:ascii="Arial" w:hAnsi="Arial" w:cs="Arial"/>
            <w:sz w:val="20"/>
            <w:szCs w:val="20"/>
          </w:rPr>
          <w:t>Master Direction – Non-Banking Financial Company-Systemically Important Non-Deposit taking Company and Deposit taking Company (Reserve Bank) Directions 2016</w:t>
        </w:r>
      </w:hyperlink>
      <w:r>
        <w:rPr>
          <w:rFonts w:ascii="Arial" w:hAnsi="Arial" w:cs="Arial"/>
          <w:color w:val="000000"/>
          <w:sz w:val="20"/>
          <w:szCs w:val="20"/>
        </w:rPr>
        <w:t>, applicable NBFCs that are part of a common Group or are floated by a common set of promoters shall not be viewed on a standalone basis. In line with the existing policy on consolidation of assets of the NBFCs in a Group, the total assets of </w:t>
      </w:r>
      <w:r>
        <w:rPr>
          <w:rStyle w:val="head1"/>
          <w:rFonts w:ascii="Arial" w:hAnsi="Arial" w:cs="Arial"/>
          <w:b/>
          <w:bCs/>
          <w:color w:val="000000"/>
          <w:sz w:val="20"/>
          <w:szCs w:val="20"/>
        </w:rPr>
        <w:t>all the NBFCs</w:t>
      </w:r>
      <w:hyperlink r:id="rId133" w:anchor="F1" w:history="1">
        <w:r>
          <w:rPr>
            <w:rStyle w:val="Hyperlink"/>
            <w:rFonts w:ascii="Arial" w:hAnsi="Arial" w:cs="Arial"/>
            <w:sz w:val="15"/>
            <w:szCs w:val="15"/>
            <w:vertAlign w:val="superscript"/>
          </w:rPr>
          <w:t>1</w:t>
        </w:r>
      </w:hyperlink>
      <w:r>
        <w:rPr>
          <w:rFonts w:ascii="Arial" w:hAnsi="Arial" w:cs="Arial"/>
          <w:color w:val="000000"/>
          <w:sz w:val="20"/>
          <w:szCs w:val="20"/>
        </w:rPr>
        <w:t> </w:t>
      </w:r>
      <w:r>
        <w:rPr>
          <w:rStyle w:val="head1"/>
          <w:rFonts w:ascii="Arial" w:hAnsi="Arial" w:cs="Arial"/>
          <w:b/>
          <w:bCs/>
          <w:color w:val="000000"/>
          <w:sz w:val="20"/>
          <w:szCs w:val="20"/>
        </w:rPr>
        <w:t>in a Group</w:t>
      </w:r>
      <w:hyperlink r:id="rId134" w:anchor="F2" w:history="1">
        <w:r>
          <w:rPr>
            <w:rStyle w:val="Hyperlink"/>
            <w:rFonts w:ascii="Arial" w:hAnsi="Arial" w:cs="Arial"/>
            <w:sz w:val="15"/>
            <w:szCs w:val="15"/>
            <w:vertAlign w:val="superscript"/>
          </w:rPr>
          <w:t>2</w:t>
        </w:r>
      </w:hyperlink>
      <w:r>
        <w:rPr>
          <w:rFonts w:ascii="Arial" w:hAnsi="Arial" w:cs="Arial"/>
          <w:color w:val="000000"/>
          <w:sz w:val="20"/>
          <w:szCs w:val="20"/>
        </w:rPr>
        <w:t> shall be consolidated to determine the threshold for their classification in the Middle Layer.</w:t>
      </w:r>
    </w:p>
    <w:p w:rsidR="00C96881" w:rsidRDefault="00C96881" w:rsidP="00C96881">
      <w:pPr>
        <w:pStyle w:val="NormalWeb"/>
        <w:jc w:val="both"/>
        <w:rPr>
          <w:rFonts w:ascii="Arial" w:hAnsi="Arial" w:cs="Arial"/>
          <w:color w:val="000000"/>
          <w:sz w:val="20"/>
          <w:szCs w:val="20"/>
        </w:rPr>
      </w:pPr>
      <w:r>
        <w:rPr>
          <w:rStyle w:val="head1"/>
          <w:rFonts w:ascii="Arial" w:hAnsi="Arial" w:cs="Arial"/>
          <w:b/>
          <w:bCs/>
          <w:color w:val="000000"/>
          <w:sz w:val="20"/>
          <w:szCs w:val="20"/>
        </w:rPr>
        <w:t>3.</w:t>
      </w:r>
      <w:r>
        <w:rPr>
          <w:rFonts w:ascii="Arial" w:hAnsi="Arial" w:cs="Arial"/>
          <w:color w:val="000000"/>
          <w:sz w:val="20"/>
          <w:szCs w:val="20"/>
        </w:rPr>
        <w:t> If the consolidated asset (consolidation as per para 2 above) size of the Group is ₹1000 crore and above, then each Investment and Credit Company (NBFC-ICC), Micro Finance Institution (NBFC-MFI), NBFC-Factor and Mortgage Guarantee Company (NBFC-MGC) lying in the Group shall be classified as an NBFC in the Middle Layer and consequently, regulations as applicable to the Middle Layer shall be applicable to them. Illustrative examples are provided in the </w:t>
      </w:r>
      <w:hyperlink r:id="rId135" w:anchor="AN1" w:history="1">
        <w:r>
          <w:rPr>
            <w:rStyle w:val="Hyperlink"/>
            <w:rFonts w:ascii="Arial" w:hAnsi="Arial" w:cs="Arial"/>
            <w:sz w:val="20"/>
            <w:szCs w:val="20"/>
          </w:rPr>
          <w:t>Annex</w:t>
        </w:r>
      </w:hyperlink>
      <w:r>
        <w:rPr>
          <w:rFonts w:ascii="Arial" w:hAnsi="Arial" w:cs="Arial"/>
          <w:color w:val="000000"/>
          <w:sz w:val="20"/>
          <w:szCs w:val="20"/>
        </w:rPr>
        <w:t> to this circular.</w:t>
      </w:r>
    </w:p>
    <w:p w:rsidR="00C96881" w:rsidRDefault="00C96881" w:rsidP="00C96881">
      <w:pPr>
        <w:pStyle w:val="NormalWeb"/>
        <w:jc w:val="both"/>
        <w:rPr>
          <w:rFonts w:ascii="Arial" w:hAnsi="Arial" w:cs="Arial"/>
          <w:color w:val="000000"/>
          <w:sz w:val="20"/>
          <w:szCs w:val="20"/>
        </w:rPr>
      </w:pPr>
      <w:r>
        <w:rPr>
          <w:rStyle w:val="head1"/>
          <w:rFonts w:ascii="Arial" w:hAnsi="Arial" w:cs="Arial"/>
          <w:b/>
          <w:bCs/>
          <w:color w:val="000000"/>
          <w:sz w:val="20"/>
          <w:szCs w:val="20"/>
        </w:rPr>
        <w:t>4.</w:t>
      </w:r>
      <w:r>
        <w:rPr>
          <w:rFonts w:ascii="Arial" w:hAnsi="Arial" w:cs="Arial"/>
          <w:color w:val="000000"/>
          <w:sz w:val="20"/>
          <w:szCs w:val="20"/>
        </w:rPr>
        <w:t> Statutory Auditors are required to certify the asset size (as on March 31) of all the NBFCs in the Group every year. The certificate shall be furnished to the Department of Supervision of the Reserve Bank under whose jurisdiction the NBFCs are registered.</w:t>
      </w:r>
    </w:p>
    <w:p w:rsidR="00C96881" w:rsidRDefault="00C96881" w:rsidP="00C96881">
      <w:pPr>
        <w:pStyle w:val="NormalWeb"/>
        <w:jc w:val="both"/>
        <w:rPr>
          <w:rFonts w:ascii="Arial" w:hAnsi="Arial" w:cs="Arial"/>
          <w:color w:val="000000"/>
          <w:sz w:val="20"/>
          <w:szCs w:val="20"/>
        </w:rPr>
      </w:pPr>
      <w:r>
        <w:rPr>
          <w:rStyle w:val="head1"/>
          <w:rFonts w:ascii="Arial" w:hAnsi="Arial" w:cs="Arial"/>
          <w:b/>
          <w:bCs/>
          <w:color w:val="000000"/>
          <w:sz w:val="20"/>
          <w:szCs w:val="20"/>
        </w:rPr>
        <w:t>5.</w:t>
      </w:r>
      <w:r>
        <w:rPr>
          <w:rFonts w:ascii="Arial" w:hAnsi="Arial" w:cs="Arial"/>
          <w:color w:val="000000"/>
          <w:sz w:val="20"/>
          <w:szCs w:val="20"/>
        </w:rPr>
        <w:t> These guidelines shall be effective from October 01, 2022.</w:t>
      </w:r>
    </w:p>
    <w:p w:rsidR="00C96881" w:rsidRDefault="00C96881" w:rsidP="00C96881">
      <w:pPr>
        <w:pStyle w:val="NormalWeb"/>
        <w:jc w:val="both"/>
        <w:rPr>
          <w:rFonts w:ascii="Arial" w:hAnsi="Arial" w:cs="Arial"/>
          <w:color w:val="000000"/>
          <w:sz w:val="20"/>
          <w:szCs w:val="20"/>
        </w:rPr>
      </w:pPr>
      <w:r>
        <w:rPr>
          <w:rStyle w:val="head1"/>
          <w:rFonts w:ascii="Arial" w:hAnsi="Arial" w:cs="Arial"/>
          <w:b/>
          <w:bCs/>
          <w:color w:val="000000"/>
          <w:sz w:val="20"/>
          <w:szCs w:val="20"/>
        </w:rPr>
        <w:t>6.</w:t>
      </w:r>
      <w:r>
        <w:rPr>
          <w:rFonts w:ascii="Arial" w:hAnsi="Arial" w:cs="Arial"/>
          <w:color w:val="000000"/>
          <w:sz w:val="20"/>
          <w:szCs w:val="20"/>
        </w:rPr>
        <w:t> Provisions contained in this circular will not be applicable for classifying an NBFC in the Upper Layer.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r>
        <w:t>More details can be referred to in the below link.</w:t>
      </w:r>
    </w:p>
    <w:p w:rsidR="00C96881" w:rsidRDefault="00C96881" w:rsidP="00C96881">
      <w:pPr>
        <w:spacing w:after="0"/>
        <w:rPr>
          <w:rFonts w:ascii="Arial" w:hAnsi="Arial" w:cs="Arial"/>
          <w:bCs/>
          <w:color w:val="000000"/>
          <w:sz w:val="20"/>
          <w:szCs w:val="20"/>
        </w:rPr>
      </w:pPr>
      <w:r>
        <w:rPr>
          <w:rFonts w:ascii="Arial" w:hAnsi="Arial" w:cs="Arial"/>
          <w:bCs/>
          <w:color w:val="000000"/>
          <w:sz w:val="20"/>
          <w:szCs w:val="20"/>
        </w:rPr>
        <w:t xml:space="preserve">Reference Link: </w:t>
      </w:r>
      <w:hyperlink r:id="rId136" w:history="1">
        <w:r w:rsidRPr="00396C70">
          <w:rPr>
            <w:rStyle w:val="Hyperlink"/>
            <w:rFonts w:ascii="Arial" w:hAnsi="Arial" w:cs="Arial"/>
            <w:bCs/>
            <w:sz w:val="20"/>
            <w:szCs w:val="20"/>
          </w:rPr>
          <w:t>https://www.rbi.org.in/Scripts/NotificationUser.aspx?Id=12400&amp;Mode=0</w:t>
        </w:r>
      </w:hyperlink>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137"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C96881" w:rsidRDefault="00C96881" w:rsidP="00DA1141">
      <w:pPr>
        <w:pStyle w:val="NormalWeb"/>
        <w:numPr>
          <w:ilvl w:val="0"/>
          <w:numId w:val="14"/>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138"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C96881" w:rsidRDefault="00C96881" w:rsidP="00DA1141">
      <w:pPr>
        <w:pStyle w:val="NormalWeb"/>
        <w:numPr>
          <w:ilvl w:val="0"/>
          <w:numId w:val="14"/>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139"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C96881" w:rsidRDefault="00C96881" w:rsidP="00C96881">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C96881" w:rsidTr="00C96881">
        <w:trPr>
          <w:trHeight w:val="437"/>
          <w:jc w:val="center"/>
        </w:trPr>
        <w:tc>
          <w:tcPr>
            <w:tcW w:w="286"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UCBs (%)</w:t>
            </w:r>
          </w:p>
        </w:tc>
      </w:tr>
      <w:tr w:rsidR="00C96881" w:rsidTr="00C96881">
        <w:trPr>
          <w:trHeight w:val="442"/>
          <w:jc w:val="center"/>
        </w:trPr>
        <w:tc>
          <w:tcPr>
            <w:tcW w:w="286"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C96881" w:rsidRDefault="00C96881" w:rsidP="00C96881">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5</w:t>
            </w:r>
          </w:p>
        </w:tc>
      </w:tr>
      <w:tr w:rsidR="00C96881" w:rsidTr="00C96881">
        <w:trPr>
          <w:trHeight w:val="273"/>
          <w:jc w:val="center"/>
        </w:trPr>
        <w:tc>
          <w:tcPr>
            <w:tcW w:w="286"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C96881" w:rsidRDefault="00C96881" w:rsidP="00C96881">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15*</w:t>
            </w:r>
          </w:p>
        </w:tc>
      </w:tr>
      <w:tr w:rsidR="00C96881" w:rsidTr="00C96881">
        <w:trPr>
          <w:trHeight w:val="197"/>
          <w:jc w:val="center"/>
        </w:trPr>
        <w:tc>
          <w:tcPr>
            <w:tcW w:w="5000" w:type="pct"/>
            <w:gridSpan w:val="4"/>
            <w:tcMar>
              <w:top w:w="0" w:type="dxa"/>
              <w:left w:w="45" w:type="dxa"/>
              <w:bottom w:w="0" w:type="dxa"/>
              <w:right w:w="45" w:type="dxa"/>
            </w:tcMar>
            <w:vAlign w:val="center"/>
            <w:hideMark/>
          </w:tcPr>
          <w:p w:rsidR="00C96881" w:rsidRDefault="00C96881" w:rsidP="00C96881">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spacing w:after="0"/>
      </w:pPr>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lastRenderedPageBreak/>
        <w:t xml:space="preserve">Reference Link: </w:t>
      </w:r>
      <w:hyperlink r:id="rId140"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C96881" w:rsidRDefault="00C96881" w:rsidP="00C96881">
      <w:pPr>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Dear Sir / Madam,</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141"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142"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43" w:history="1">
        <w:r w:rsidRPr="009A1791">
          <w:rPr>
            <w:rStyle w:val="Hyperlink"/>
            <w:rFonts w:ascii="Arial" w:hAnsi="Arial" w:cs="Arial"/>
            <w:bCs/>
            <w:sz w:val="20"/>
            <w:szCs w:val="20"/>
          </w:rPr>
          <w:t>https://rbi.org.in/Scripts/NotificationUser.aspx?Id=12402&amp;Mode=0</w:t>
        </w:r>
      </w:hyperlink>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pStyle w:val="NormalWeb"/>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October 13, 2022</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144"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 w:rsidR="00C96881" w:rsidRDefault="00C96881" w:rsidP="00C96881"/>
    <w:p w:rsidR="00C96881" w:rsidRDefault="00C96881" w:rsidP="00C96881">
      <w:r>
        <w:t>More details can be referred to in the below link.</w:t>
      </w:r>
    </w:p>
    <w:p w:rsidR="00C96881" w:rsidRDefault="00C96881" w:rsidP="00C96881">
      <w:pPr>
        <w:pStyle w:val="NormalWeb"/>
        <w:rPr>
          <w:rFonts w:ascii="Arial" w:hAnsi="Arial" w:cs="Arial"/>
          <w:color w:val="000000"/>
          <w:sz w:val="20"/>
          <w:szCs w:val="20"/>
        </w:rPr>
      </w:pPr>
      <w:r>
        <w:rPr>
          <w:rFonts w:ascii="Arial" w:hAnsi="Arial" w:cs="Arial"/>
          <w:bCs/>
          <w:color w:val="000000"/>
          <w:sz w:val="20"/>
          <w:szCs w:val="20"/>
        </w:rPr>
        <w:t xml:space="preserve">Reference Link: </w:t>
      </w:r>
      <w:hyperlink r:id="rId145" w:history="1">
        <w:r w:rsidRPr="006865D6">
          <w:rPr>
            <w:rStyle w:val="Hyperlink"/>
            <w:rFonts w:ascii="Arial" w:hAnsi="Arial" w:cs="Arial"/>
            <w:sz w:val="20"/>
            <w:szCs w:val="20"/>
          </w:rPr>
          <w:t>https://www.rbi.org.in/scripts/FS_Notification.aspx?Id=12403&amp;fn=2&amp;Mode=0</w:t>
        </w:r>
      </w:hyperlink>
    </w:p>
    <w:p w:rsidR="00C96881" w:rsidRDefault="00C96881" w:rsidP="00C96881">
      <w:pPr>
        <w:pStyle w:val="NormalWeb"/>
        <w:rPr>
          <w:rFonts w:ascii="Arial" w:hAnsi="Arial" w:cs="Arial"/>
          <w:color w:val="000000"/>
          <w:sz w:val="20"/>
          <w:szCs w:val="20"/>
        </w:rPr>
      </w:pPr>
    </w:p>
    <w:p w:rsidR="00C96881" w:rsidRDefault="00C96881" w:rsidP="00C96881">
      <w:pPr>
        <w:pStyle w:val="NormalWeb"/>
        <w:rPr>
          <w:rFonts w:ascii="Arial" w:hAnsi="Arial" w:cs="Arial"/>
          <w:color w:val="000000"/>
          <w:sz w:val="20"/>
          <w:szCs w:val="20"/>
        </w:rPr>
      </w:pPr>
    </w:p>
    <w:p w:rsidR="00C96881" w:rsidRDefault="00C96881" w:rsidP="00C96881">
      <w:pPr>
        <w:pStyle w:val="NormalWeb"/>
        <w:rPr>
          <w:rFonts w:ascii="Arial" w:hAnsi="Arial" w:cs="Arial"/>
          <w:color w:val="000000"/>
          <w:sz w:val="20"/>
          <w:szCs w:val="20"/>
        </w:rPr>
      </w:pPr>
    </w:p>
    <w:p w:rsidR="00C96881" w:rsidRDefault="00C96881" w:rsidP="00C96881">
      <w:pPr>
        <w:pStyle w:val="NormalWeb"/>
        <w:rPr>
          <w:rFonts w:ascii="Arial" w:hAnsi="Arial" w:cs="Arial"/>
          <w:color w:val="000000"/>
          <w:sz w:val="20"/>
          <w:szCs w:val="20"/>
        </w:rPr>
      </w:pPr>
    </w:p>
    <w:p w:rsidR="00C96881" w:rsidRDefault="00C96881" w:rsidP="00C96881">
      <w:pPr>
        <w:pStyle w:val="NormalWeb"/>
        <w:rPr>
          <w:rFonts w:ascii="Arial" w:hAnsi="Arial" w:cs="Arial"/>
          <w:b/>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pStyle w:val="NormalWeb"/>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RBI/2022-23/135</w:t>
      </w:r>
      <w:r>
        <w:rPr>
          <w:rFonts w:ascii="Arial" w:hAnsi="Arial" w:cs="Arial"/>
          <w:color w:val="000000"/>
          <w:sz w:val="20"/>
          <w:szCs w:val="20"/>
        </w:rPr>
        <w:br/>
        <w:t>DoR.AUT.REC.81/24.01.001/2022-23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November 01,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Sir,</w:t>
      </w:r>
    </w:p>
    <w:p w:rsidR="00C96881" w:rsidRDefault="00C96881" w:rsidP="00C96881">
      <w:pPr>
        <w:pStyle w:val="head"/>
        <w:jc w:val="center"/>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35A of the Banking Regulation Act, 1949, the Reserve Bank of India being satisfied that it is necessary and expedient in the public interest so to do, hereby, amends the instructions issued vide </w:t>
      </w:r>
      <w:hyperlink r:id="rId146" w:tgtFrame="_blank" w:history="1">
        <w:r>
          <w:rPr>
            <w:rStyle w:val="Hyperlink"/>
            <w:rFonts w:ascii="Arial" w:hAnsi="Arial" w:cs="Arial"/>
            <w:sz w:val="20"/>
            <w:szCs w:val="20"/>
          </w:rPr>
          <w:t>circular DBR.RRB.BC.No.59/31.01.001/2015-16 dated November 19, 2015</w:t>
        </w:r>
      </w:hyperlink>
      <w:r>
        <w:rPr>
          <w:rFonts w:ascii="Arial" w:hAnsi="Arial" w:cs="Arial"/>
          <w:color w:val="000000"/>
          <w:sz w:val="20"/>
          <w:szCs w:val="20"/>
        </w:rPr>
        <w:t> on ‘Internet Banking Facility for Customers of Regional Rural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Keeping in view the need to promote the spread of digital banking for customers in rural areas, the eligibility criteria applicable to Regional Rural Banks for offering Internet Banking with transactional facility to their customers have been revised, the details of which are enclosed in the </w:t>
      </w:r>
      <w:hyperlink r:id="rId147" w:anchor="AN"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2. Commencement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The circular comes into force from November 01, 2022.</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This circular is applicable to all Regional Rural Banks (RRBs).</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r>
        <w:t>More details can be referred to in the below link.</w:t>
      </w:r>
    </w:p>
    <w:p w:rsidR="00C96881" w:rsidRDefault="00C96881" w:rsidP="00C96881">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
          <w:bCs/>
          <w:color w:val="000000"/>
          <w:sz w:val="20"/>
          <w:szCs w:val="20"/>
        </w:rPr>
        <w:t xml:space="preserve"> </w:t>
      </w:r>
      <w:hyperlink r:id="rId148" w:history="1">
        <w:r w:rsidRPr="00996689">
          <w:rPr>
            <w:rStyle w:val="Hyperlink"/>
            <w:rFonts w:ascii="Arial" w:hAnsi="Arial" w:cs="Arial"/>
            <w:bCs/>
            <w:sz w:val="20"/>
            <w:szCs w:val="20"/>
          </w:rPr>
          <w:t>https://www.rbi.org.in/scripts/FS_Notification.aspx?Id=12407&amp;fn=2&amp;Mode=0</w:t>
        </w:r>
      </w:hyperlink>
    </w:p>
    <w:p w:rsidR="00C96881" w:rsidRPr="00ED4725"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C96881">
      <w:pPr>
        <w:pStyle w:val="NormalWeb"/>
        <w:rPr>
          <w:rFonts w:ascii="Arial" w:hAnsi="Arial" w:cs="Arial"/>
          <w:b/>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pStyle w:val="NormalWeb"/>
        <w:rPr>
          <w:rFonts w:ascii="Arial" w:hAnsi="Arial" w:cs="Arial"/>
          <w:b/>
          <w:color w:val="000000"/>
          <w:sz w:val="20"/>
          <w:szCs w:val="20"/>
        </w:rPr>
      </w:pPr>
      <w:r w:rsidRPr="0085415B">
        <w:rPr>
          <w:rFonts w:ascii="Arial" w:hAnsi="Arial" w:cs="Arial"/>
          <w:b/>
          <w:color w:val="000000"/>
          <w:sz w:val="20"/>
          <w:szCs w:val="20"/>
        </w:rPr>
        <w:t>Agency Commission for Direct Tax collection under TIN 2.0 regime</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RBI/2022-23/136</w:t>
      </w:r>
      <w:r>
        <w:rPr>
          <w:rFonts w:ascii="Arial" w:hAnsi="Arial" w:cs="Arial"/>
          <w:color w:val="000000"/>
          <w:sz w:val="20"/>
          <w:szCs w:val="20"/>
        </w:rPr>
        <w:br/>
        <w:t>CO.DGBA.GBD.No.S957/43-33-005/2022-2023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November 14,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Agency banks (authorised to collect direct taxes)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Agency Commission for Direct Tax collection under TIN 2.0 regime</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149" w:tgtFrame="_blank" w:history="1">
        <w:r>
          <w:rPr>
            <w:rStyle w:val="Hyperlink"/>
            <w:rFonts w:ascii="Arial" w:hAnsi="Arial" w:cs="Arial"/>
            <w:sz w:val="20"/>
            <w:szCs w:val="20"/>
          </w:rPr>
          <w:t>Master Circular on Conduct of Government Business by Agency Banks - Payment of Agency Commission dated April 1, 2022</w:t>
        </w:r>
      </w:hyperlink>
      <w:r>
        <w:rPr>
          <w:rFonts w:ascii="Arial" w:hAnsi="Arial" w:cs="Arial"/>
          <w:color w:val="000000"/>
          <w:sz w:val="20"/>
          <w:szCs w:val="20"/>
        </w:rPr>
        <w:t> related to claiming of agency commission.</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After implementation of TIN 2.0 regime for collection of direct taxes, it has been decided to modify paragraph 21 of the captioned Master Circular. The modified paragraph 21 will read as follows: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t>
      </w:r>
      <w:r>
        <w:rPr>
          <w:rFonts w:ascii="Arial" w:hAnsi="Arial" w:cs="Arial"/>
          <w:color w:val="000000"/>
          <w:sz w:val="20"/>
          <w:szCs w:val="20"/>
          <w:u w:val="single"/>
        </w:rPr>
        <w:t>and transactions related to direct tax collection under TIN 2.0 regime</w:t>
      </w:r>
      <w:r>
        <w:rPr>
          <w:rFonts w:ascii="Arial" w:hAnsi="Arial" w:cs="Arial"/>
          <w:color w:val="000000"/>
          <w:sz w:val="20"/>
          <w:szCs w:val="20"/>
        </w:rPr>
        <w:t> will be settled at Mumbai Regional Office of Reserve Bank of India only and accordingly all agency banks, authorized to collect GST </w:t>
      </w:r>
      <w:r>
        <w:rPr>
          <w:rFonts w:ascii="Arial" w:hAnsi="Arial" w:cs="Arial"/>
          <w:color w:val="000000"/>
          <w:sz w:val="20"/>
          <w:szCs w:val="20"/>
          <w:u w:val="single"/>
        </w:rPr>
        <w:t>and direct tax collection under TIN 2.0</w:t>
      </w:r>
      <w:r>
        <w:rPr>
          <w:rFonts w:ascii="Arial" w:hAnsi="Arial" w:cs="Arial"/>
          <w:color w:val="000000"/>
          <w:sz w:val="20"/>
          <w:szCs w:val="20"/>
        </w:rPr>
        <w:t>, are advised to submit their agency commission claims pertaining to </w:t>
      </w:r>
      <w:r>
        <w:rPr>
          <w:rFonts w:ascii="Arial" w:hAnsi="Arial" w:cs="Arial"/>
          <w:color w:val="000000"/>
          <w:sz w:val="20"/>
          <w:szCs w:val="20"/>
          <w:u w:val="single"/>
        </w:rPr>
        <w:t>the respective</w:t>
      </w:r>
      <w:r>
        <w:rPr>
          <w:rFonts w:ascii="Arial" w:hAnsi="Arial" w:cs="Arial"/>
          <w:color w:val="000000"/>
          <w:sz w:val="20"/>
          <w:szCs w:val="20"/>
        </w:rPr>
        <w:t> receipt transactions at Mumbai Regional Office only. </w:t>
      </w:r>
      <w:r>
        <w:rPr>
          <w:rFonts w:ascii="Arial" w:hAnsi="Arial" w:cs="Arial"/>
          <w:color w:val="000000"/>
          <w:sz w:val="20"/>
          <w:szCs w:val="20"/>
          <w:u w:val="single"/>
        </w:rPr>
        <w:t>The agency commission for transactions related to direct tax under OLTAS will be continued to be settled at CAS, Nagpur, RBI.</w:t>
      </w:r>
      <w:r>
        <w:rPr>
          <w:rFonts w:ascii="Arial" w:hAnsi="Arial" w:cs="Arial"/>
          <w:color w:val="000000"/>
          <w:sz w:val="20"/>
          <w:szCs w:val="20"/>
        </w:rPr>
        <w:t>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Indranil</w:t>
      </w:r>
      <w:proofErr w:type="spellEnd"/>
      <w:r>
        <w:rPr>
          <w:rFonts w:ascii="Arial" w:hAnsi="Arial" w:cs="Arial"/>
          <w:color w:val="000000"/>
          <w:sz w:val="20"/>
          <w:szCs w:val="20"/>
        </w:rPr>
        <w:t xml:space="preserve"> Chakraborty)</w:t>
      </w:r>
      <w:r>
        <w:rPr>
          <w:rFonts w:ascii="Arial" w:hAnsi="Arial" w:cs="Arial"/>
          <w:color w:val="000000"/>
          <w:sz w:val="20"/>
          <w:szCs w:val="20"/>
        </w:rPr>
        <w:br/>
        <w:t>Chief General Manager</w:t>
      </w:r>
    </w:p>
    <w:p w:rsidR="00C96881" w:rsidRDefault="00C96881" w:rsidP="00C96881">
      <w:pPr>
        <w:pStyle w:val="NormalWeb"/>
        <w:rPr>
          <w:rFonts w:ascii="Arial" w:hAnsi="Arial" w:cs="Arial"/>
          <w:color w:val="000000"/>
          <w:sz w:val="20"/>
          <w:szCs w:val="20"/>
        </w:rPr>
      </w:pPr>
    </w:p>
    <w:p w:rsidR="00C96881" w:rsidRDefault="00C96881" w:rsidP="00C96881"/>
    <w:p w:rsidR="00C96881" w:rsidRDefault="00C96881" w:rsidP="00C96881">
      <w:r>
        <w:t>More details can be referred to in the below link.</w:t>
      </w:r>
    </w:p>
    <w:p w:rsidR="00C96881" w:rsidRDefault="00C96881" w:rsidP="00C9688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0" w:history="1">
        <w:r w:rsidRPr="006865D6">
          <w:rPr>
            <w:rStyle w:val="Hyperlink"/>
            <w:rFonts w:ascii="Arial" w:hAnsi="Arial" w:cs="Arial"/>
            <w:bCs/>
            <w:sz w:val="20"/>
            <w:szCs w:val="20"/>
          </w:rPr>
          <w:t>https://www.rbi.org.in/Scripts/NotificationUser.aspx?Id=12408&amp;Mode=0</w:t>
        </w:r>
      </w:hyperlink>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pStyle w:val="NormalWeb"/>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November 23, 2022</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51"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 xml:space="preserve">(i)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C96881" w:rsidTr="00C96881">
        <w:trPr>
          <w:trHeight w:val="418"/>
          <w:jc w:val="center"/>
        </w:trPr>
        <w:tc>
          <w:tcPr>
            <w:tcW w:w="873"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C96881" w:rsidRDefault="00C96881" w:rsidP="00C96881">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C96881" w:rsidTr="00C96881">
        <w:trPr>
          <w:trHeight w:val="141"/>
          <w:jc w:val="center"/>
        </w:trPr>
        <w:tc>
          <w:tcPr>
            <w:tcW w:w="873"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1.50%</w:t>
            </w:r>
          </w:p>
        </w:tc>
      </w:tr>
      <w:tr w:rsidR="00C96881" w:rsidTr="00C96881">
        <w:trPr>
          <w:trHeight w:val="202"/>
          <w:jc w:val="center"/>
        </w:trPr>
        <w:tc>
          <w:tcPr>
            <w:tcW w:w="873"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C96881" w:rsidRDefault="00C96881" w:rsidP="00C96881">
            <w:pPr>
              <w:jc w:val="center"/>
              <w:rPr>
                <w:rFonts w:ascii="Arial" w:hAnsi="Arial" w:cs="Arial"/>
                <w:color w:val="000000"/>
                <w:sz w:val="20"/>
                <w:szCs w:val="20"/>
              </w:rPr>
            </w:pPr>
            <w:r>
              <w:rPr>
                <w:rFonts w:ascii="Arial" w:hAnsi="Arial" w:cs="Arial"/>
                <w:color w:val="000000"/>
                <w:sz w:val="20"/>
                <w:szCs w:val="20"/>
              </w:rPr>
              <w:t>1.50%</w:t>
            </w:r>
          </w:p>
        </w:tc>
      </w:tr>
    </w:tbl>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pStyle w:val="NormalWeb"/>
        <w:rPr>
          <w:rFonts w:ascii="Arial" w:hAnsi="Arial" w:cs="Arial"/>
          <w:b/>
          <w:color w:val="000000"/>
          <w:sz w:val="20"/>
          <w:szCs w:val="20"/>
        </w:rPr>
      </w:pPr>
    </w:p>
    <w:p w:rsidR="00C96881" w:rsidRDefault="00C96881" w:rsidP="00C96881">
      <w:pPr>
        <w:pStyle w:val="NormalWeb"/>
        <w:rPr>
          <w:rFonts w:ascii="Arial" w:hAnsi="Arial" w:cs="Arial"/>
          <w:b/>
          <w:color w:val="000000"/>
          <w:sz w:val="20"/>
          <w:szCs w:val="20"/>
        </w:rPr>
      </w:pPr>
    </w:p>
    <w:p w:rsidR="00C96881" w:rsidRDefault="00C96881" w:rsidP="00C96881">
      <w:r>
        <w:t>More details can be referred to in the below link.</w:t>
      </w:r>
    </w:p>
    <w:p w:rsidR="00C96881" w:rsidRDefault="00C96881" w:rsidP="00C9688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2" w:history="1">
        <w:r w:rsidRPr="006865D6">
          <w:rPr>
            <w:rStyle w:val="Hyperlink"/>
            <w:rFonts w:ascii="Arial" w:hAnsi="Arial" w:cs="Arial"/>
            <w:bCs/>
            <w:sz w:val="20"/>
            <w:szCs w:val="20"/>
          </w:rPr>
          <w:t>https://www.rbi.org.in/scripts/NotificationUser.aspx?Id=12411&amp;Mode=0</w:t>
        </w:r>
      </w:hyperlink>
    </w:p>
    <w:p w:rsidR="00C96881" w:rsidRDefault="00C96881" w:rsidP="00C96881">
      <w:pPr>
        <w:pStyle w:val="NormalWeb"/>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November 23,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53"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154" w:anchor="AN1"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C96881" w:rsidRDefault="00C96881" w:rsidP="00C96881">
      <w:pPr>
        <w:pStyle w:val="NormalWeb"/>
        <w:rPr>
          <w:rFonts w:ascii="Arial" w:hAnsi="Arial" w:cs="Arial"/>
          <w:b/>
          <w:color w:val="000000"/>
          <w:sz w:val="20"/>
          <w:szCs w:val="20"/>
        </w:rPr>
      </w:pPr>
    </w:p>
    <w:p w:rsidR="00C96881" w:rsidRDefault="00C96881" w:rsidP="00C96881"/>
    <w:p w:rsidR="00C96881" w:rsidRDefault="00C96881" w:rsidP="00C96881">
      <w:r>
        <w:t>More details can be referred to in the below link.</w:t>
      </w:r>
    </w:p>
    <w:p w:rsidR="00C96881" w:rsidRDefault="00C96881" w:rsidP="00C9688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5" w:history="1">
        <w:r w:rsidRPr="006865D6">
          <w:rPr>
            <w:rStyle w:val="Hyperlink"/>
            <w:rFonts w:ascii="Arial" w:hAnsi="Arial" w:cs="Arial"/>
            <w:bCs/>
            <w:sz w:val="20"/>
            <w:szCs w:val="20"/>
          </w:rPr>
          <w:t>https://www.rbi.org.in/scripts/NotificationUser.aspx?Id=12412&amp;Mode=0</w:t>
        </w:r>
      </w:hyperlink>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C96881">
      <w:pPr>
        <w:pStyle w:val="NormalWeb"/>
        <w:rPr>
          <w:rFonts w:ascii="Arial" w:hAnsi="Arial" w:cs="Arial"/>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Basel III Framework on Liquidity Standards – Standing Deposit Facility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RBI/2022-23/141</w:t>
      </w:r>
      <w:r>
        <w:rPr>
          <w:rFonts w:ascii="Arial" w:hAnsi="Arial" w:cs="Arial"/>
          <w:color w:val="000000"/>
          <w:sz w:val="20"/>
          <w:szCs w:val="20"/>
        </w:rPr>
        <w:br/>
        <w:t>DOR.LRG.REC.83/03.10.001/2022-23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November 23,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Madam/Dear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Basel III Framework on Liquidity Standards – Standing Deposit Facility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w:t>
      </w:r>
      <w:hyperlink r:id="rId156" w:tgtFrame="_blank" w:history="1">
        <w:r>
          <w:rPr>
            <w:rStyle w:val="Hyperlink"/>
            <w:rFonts w:ascii="Arial" w:hAnsi="Arial" w:cs="Arial"/>
            <w:sz w:val="20"/>
            <w:szCs w:val="20"/>
          </w:rPr>
          <w:t>circular DBOD.BP.BC.No.120/21.04.098/2013-14 dated June 09, 2014</w:t>
        </w:r>
      </w:hyperlink>
      <w:r>
        <w:rPr>
          <w:rFonts w:ascii="Arial" w:hAnsi="Arial" w:cs="Arial"/>
          <w:color w:val="000000"/>
          <w:sz w:val="20"/>
          <w:szCs w:val="20"/>
        </w:rPr>
        <w:t> on ‘Basel III Framework on Liquidity Standards – Liquidity Coverage Ratio (LCR), Liquidity Risk Monitoring Tools and LCR Disclosure Standards’ and the </w:t>
      </w:r>
      <w:hyperlink r:id="rId157" w:tgtFrame="_blank" w:history="1">
        <w:r>
          <w:rPr>
            <w:rStyle w:val="Hyperlink"/>
            <w:rFonts w:ascii="Arial" w:hAnsi="Arial" w:cs="Arial"/>
            <w:sz w:val="20"/>
            <w:szCs w:val="20"/>
          </w:rPr>
          <w:t>Press Release 2022-2023/41 dated April 08, 2022</w:t>
        </w:r>
      </w:hyperlink>
      <w:r>
        <w:rPr>
          <w:rFonts w:ascii="Arial" w:hAnsi="Arial" w:cs="Arial"/>
          <w:color w:val="000000"/>
          <w:sz w:val="20"/>
          <w:szCs w:val="20"/>
        </w:rPr>
        <w:t> on operationalising of Standing Deposit Facility (SDF).</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We have received queries from banks seeking clarification on the treatment of SDF under Liquidity Risk Management Framework.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Accordingly, it is advised that the overnight balances held by banks with RBI under SDF shall be eligible as ‘Level 1 High Quality Liquid Assets (HQLA)’ for computation of LCR.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Local Area Banks, Regional Rural Banks and Payments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with immediate effect.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58" w:history="1">
        <w:r w:rsidRPr="009A1791">
          <w:rPr>
            <w:rStyle w:val="Hyperlink"/>
            <w:rFonts w:ascii="Arial" w:hAnsi="Arial" w:cs="Arial"/>
            <w:bCs/>
            <w:sz w:val="20"/>
            <w:szCs w:val="20"/>
          </w:rPr>
          <w:t>https://www.rbi.org.in/scripts/NotificationUser.aspx?Id=12413&amp;Mode=0</w:t>
        </w:r>
      </w:hyperlink>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01090D">
      <w:pPr>
        <w:rPr>
          <w:rFonts w:ascii="Arial" w:hAnsi="Arial" w:cs="Arial"/>
          <w:bCs/>
          <w:color w:val="000000"/>
          <w:sz w:val="20"/>
          <w:szCs w:val="20"/>
        </w:rPr>
      </w:pPr>
    </w:p>
    <w:p w:rsidR="00C96881" w:rsidRDefault="00C96881" w:rsidP="00C96881">
      <w:pPr>
        <w:spacing w:after="0"/>
        <w:rPr>
          <w:rFonts w:ascii="Arial" w:hAnsi="Arial" w:cs="Arial"/>
          <w:b/>
          <w:bCs/>
          <w:color w:val="000000"/>
          <w:sz w:val="20"/>
          <w:szCs w:val="20"/>
        </w:rPr>
      </w:pPr>
      <w:r>
        <w:rPr>
          <w:rFonts w:ascii="Arial" w:hAnsi="Arial" w:cs="Arial"/>
          <w:b/>
          <w:bCs/>
          <w:color w:val="000000"/>
          <w:sz w:val="20"/>
          <w:szCs w:val="20"/>
        </w:rPr>
        <w:t>Notification of Significant Benchmark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01, 2022</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C96881" w:rsidRDefault="00C96881" w:rsidP="00C96881">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59"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160"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 xml:space="preserve">2. In terms of paragraph 3(i)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 Overnight Mumbai Interbank Outright Rate (MIBOR)</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C96881" w:rsidRDefault="00C96881" w:rsidP="00C9688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161"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C96881" w:rsidRDefault="00C96881" w:rsidP="00C96881">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C96881" w:rsidRPr="00F81595" w:rsidRDefault="00C96881" w:rsidP="00C96881">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spacing w:after="0"/>
        <w:rPr>
          <w:rFonts w:ascii="Arial" w:hAnsi="Arial" w:cs="Arial"/>
          <w:sz w:val="20"/>
          <w:szCs w:val="20"/>
        </w:rPr>
      </w:pPr>
    </w:p>
    <w:p w:rsidR="00C96881" w:rsidRPr="00435B25" w:rsidRDefault="00C96881" w:rsidP="00C96881">
      <w:pPr>
        <w:spacing w:after="0"/>
        <w:rPr>
          <w:rFonts w:ascii="Arial" w:hAnsi="Arial" w:cs="Arial"/>
          <w:sz w:val="20"/>
          <w:szCs w:val="20"/>
        </w:rPr>
      </w:pPr>
      <w:r w:rsidRPr="00435B25">
        <w:rPr>
          <w:rFonts w:ascii="Arial" w:hAnsi="Arial" w:cs="Arial"/>
          <w:sz w:val="20"/>
          <w:szCs w:val="20"/>
        </w:rPr>
        <w:t>More details can be referred to in the below link.</w:t>
      </w:r>
    </w:p>
    <w:p w:rsidR="00C96881" w:rsidRDefault="00C96881" w:rsidP="00C96881">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62"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C96881" w:rsidRDefault="00C96881" w:rsidP="00C96881">
      <w:pPr>
        <w:spacing w:after="0"/>
        <w:rPr>
          <w:rFonts w:ascii="Arial" w:hAnsi="Arial" w:cs="Arial"/>
          <w:b/>
          <w:bCs/>
          <w:color w:val="000000"/>
          <w:sz w:val="20"/>
          <w:szCs w:val="20"/>
        </w:rPr>
      </w:pPr>
    </w:p>
    <w:p w:rsidR="00C96881" w:rsidRDefault="00C96881" w:rsidP="00C96881">
      <w:pPr>
        <w:spacing w:after="0"/>
        <w:rPr>
          <w:rFonts w:ascii="Arial" w:hAnsi="Arial" w:cs="Arial"/>
          <w:b/>
          <w:bCs/>
          <w:color w:val="000000"/>
          <w:sz w:val="20"/>
          <w:szCs w:val="20"/>
        </w:rPr>
      </w:pPr>
    </w:p>
    <w:p w:rsidR="00C96881" w:rsidRDefault="00C96881" w:rsidP="0001090D">
      <w:pPr>
        <w:rPr>
          <w:rFonts w:ascii="Arial" w:hAnsi="Arial" w:cs="Arial"/>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Review of norms for classification of Urban Co-operative Banks (UCBs) as Financially Sound and Well Managed (FSWM)</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RBI/2022-23/143</w:t>
      </w:r>
      <w:r>
        <w:rPr>
          <w:rFonts w:ascii="Arial" w:hAnsi="Arial" w:cs="Arial"/>
          <w:color w:val="000000"/>
          <w:sz w:val="20"/>
          <w:szCs w:val="20"/>
        </w:rPr>
        <w:br/>
        <w:t>DOR.REG.No.85/07.01.000/2022-23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01,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Review of norms for classification of Urban Co-operative Banks (UCBs) as Financially Sound and Well Managed (FSWM)</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 xml:space="preserve">In order to ensure a financially sound and stable co-operative sector, select UCBs are termed as Financially Sound and Well Managed (FSWM) subject to </w:t>
      </w:r>
      <w:proofErr w:type="spellStart"/>
      <w:r>
        <w:rPr>
          <w:rFonts w:ascii="Arial" w:hAnsi="Arial" w:cs="Arial"/>
          <w:color w:val="000000"/>
          <w:sz w:val="20"/>
          <w:szCs w:val="20"/>
        </w:rPr>
        <w:t>fulfillment</w:t>
      </w:r>
      <w:proofErr w:type="spellEnd"/>
      <w:r>
        <w:rPr>
          <w:rFonts w:ascii="Arial" w:hAnsi="Arial" w:cs="Arial"/>
          <w:color w:val="000000"/>
          <w:sz w:val="20"/>
          <w:szCs w:val="20"/>
        </w:rPr>
        <w:t xml:space="preserve"> of certain parameters. In this context, a reference is made to our </w:t>
      </w:r>
      <w:hyperlink r:id="rId163" w:tgtFrame="_blank" w:history="1">
        <w:r>
          <w:rPr>
            <w:rStyle w:val="Hyperlink"/>
            <w:rFonts w:ascii="Arial" w:hAnsi="Arial" w:cs="Arial"/>
            <w:sz w:val="20"/>
            <w:szCs w:val="20"/>
          </w:rPr>
          <w:t>circular DCBR.CO.LS (PCB) Cir.No.4/07.01.000/2014-15 dated January 28, 2015</w:t>
        </w:r>
      </w:hyperlink>
      <w:r>
        <w:rPr>
          <w:rFonts w:ascii="Arial" w:hAnsi="Arial" w:cs="Arial"/>
          <w:color w:val="000000"/>
          <w:sz w:val="20"/>
          <w:szCs w:val="20"/>
        </w:rPr>
        <w:t> on “Review of norms for classification of Urban Co-operative Banks (UCBs) as Financially Sound and Well Managed (FSWM)” for criteria prescribed for considering the UCBs as FSWM.</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It has been decided to revise the criteria for UCBs to be classified as FSWM. The revised criteria in view of </w:t>
      </w:r>
      <w:hyperlink r:id="rId164" w:tgtFrame="_blank" w:history="1">
        <w:r>
          <w:rPr>
            <w:rStyle w:val="Hyperlink"/>
            <w:rFonts w:ascii="Arial" w:hAnsi="Arial" w:cs="Arial"/>
            <w:sz w:val="20"/>
            <w:szCs w:val="20"/>
          </w:rPr>
          <w:t>Revised Regulatory Framework for Urban Co-operative Banks (UCBs) released by RBI on July 19, 2022</w:t>
        </w:r>
      </w:hyperlink>
      <w:r>
        <w:rPr>
          <w:rFonts w:ascii="Arial" w:hAnsi="Arial" w:cs="Arial"/>
          <w:color w:val="000000"/>
          <w:sz w:val="20"/>
          <w:szCs w:val="20"/>
        </w:rPr>
        <w:t> based on the recommendation of the </w:t>
      </w:r>
      <w:hyperlink r:id="rId165" w:tgtFrame="_blank" w:history="1">
        <w:r>
          <w:rPr>
            <w:rStyle w:val="Hyperlink"/>
            <w:rFonts w:ascii="Arial" w:hAnsi="Arial" w:cs="Arial"/>
            <w:sz w:val="20"/>
            <w:szCs w:val="20"/>
          </w:rPr>
          <w:t>Expert Committee on Primary (Urban) Co-operative Banks</w:t>
        </w:r>
      </w:hyperlink>
      <w:r>
        <w:rPr>
          <w:rFonts w:ascii="Arial" w:hAnsi="Arial" w:cs="Arial"/>
          <w:color w:val="000000"/>
          <w:sz w:val="20"/>
          <w:szCs w:val="20"/>
        </w:rPr>
        <w:t> are given in the </w:t>
      </w:r>
      <w:hyperlink r:id="rId166" w:anchor="AN1"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Further, the UCBs are now permitted to classify themselves as FSWM based on this revised FSWM criteria.</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The revised instructions shall be applicable with immediate effect.</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This circular is applicable to all Primary (Urban) Co-operative Banks.</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67" w:history="1">
        <w:r w:rsidRPr="00735218">
          <w:rPr>
            <w:rStyle w:val="Hyperlink"/>
            <w:rFonts w:ascii="Arial" w:hAnsi="Arial" w:cs="Arial"/>
            <w:bCs/>
            <w:sz w:val="20"/>
            <w:szCs w:val="20"/>
          </w:rPr>
          <w:t>https://www.rbi.org.in/Scripts/NotificationUser.aspx?Id=12415&amp;Mode=0</w:t>
        </w:r>
      </w:hyperlink>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Revised Regulatory Framework - Categorization of Urban Co-operative Banks (UCBs) for Regulatory Purposes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RBI/2022-23/144</w:t>
      </w:r>
      <w:r>
        <w:rPr>
          <w:rFonts w:ascii="Arial" w:hAnsi="Arial" w:cs="Arial"/>
          <w:color w:val="000000"/>
          <w:sz w:val="20"/>
          <w:szCs w:val="20"/>
        </w:rPr>
        <w:br/>
        <w:t>DOR.REG.No.84/07.01.000/2022-23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01,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Madam / Sir</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Revised Regulatory Framework - Categorization of Urban Co-operative Banks (UCBs) for Regulatory Purposes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Given the heterogeneity in the cooperative sector, a tiered regulatory framework is required to balance the spirit of mutuality and co-operation more prevalent in banks of smaller sizes and those with limited area of operation vis-à-vis the growth ambitions of the large-sized UCBs to spread their area of operation and undertake more complex business activities.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The Reserve Bank of India had constituted the </w:t>
      </w:r>
      <w:hyperlink r:id="rId168" w:tgtFrame="_blank" w:history="1">
        <w:r>
          <w:rPr>
            <w:rStyle w:val="Hyperlink"/>
            <w:rFonts w:ascii="Arial" w:hAnsi="Arial" w:cs="Arial"/>
            <w:sz w:val="20"/>
            <w:szCs w:val="20"/>
          </w:rPr>
          <w:t>Expert Committee on Urban Co-operative Banks</w:t>
        </w:r>
      </w:hyperlink>
      <w:r>
        <w:rPr>
          <w:rFonts w:ascii="Arial" w:hAnsi="Arial" w:cs="Arial"/>
          <w:color w:val="000000"/>
          <w:sz w:val="20"/>
          <w:szCs w:val="20"/>
        </w:rPr>
        <w:t> to examine the issues in urban cooperative banking sector and to review regulatory/ supervisory approach for strengthening the sector. Based on the recommendations of the Expert Committee, RBI had released the </w:t>
      </w:r>
      <w:hyperlink r:id="rId169" w:tgtFrame="_blank" w:history="1">
        <w:r>
          <w:rPr>
            <w:rStyle w:val="Hyperlink"/>
            <w:rFonts w:ascii="Arial" w:hAnsi="Arial" w:cs="Arial"/>
            <w:sz w:val="20"/>
            <w:szCs w:val="20"/>
          </w:rPr>
          <w:t>Revised Regulatory Framework for Urban Co-operative Banks (UCBs) on July 19, 2022</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3. Accordingly, it has been decided to adopt a four-tiered regulatory framework, as against the existing two-tiered framework, for categorization of UCBs. Going forward, this categorization may be used for differentiated regulatory prescriptions aimed at strengthening the financial soundness of the UCBs.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The categorization of UCBs, based on their deposit size, is enclosed in </w:t>
      </w:r>
      <w:hyperlink r:id="rId170" w:anchor="AN1" w:history="1">
        <w:r>
          <w:rPr>
            <w:rStyle w:val="Hyperlink"/>
            <w:rFonts w:ascii="Arial" w:hAnsi="Arial" w:cs="Arial"/>
            <w:sz w:val="20"/>
            <w:szCs w:val="20"/>
          </w:rPr>
          <w:t>Annex</w:t>
        </w:r>
      </w:hyperlink>
      <w:r>
        <w:rPr>
          <w:rFonts w:ascii="Arial" w:hAnsi="Arial" w:cs="Arial"/>
          <w:color w:val="000000"/>
          <w:sz w:val="20"/>
          <w:szCs w:val="20"/>
        </w:rPr>
        <w:t>.</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 instructions shall be applicable with immediate effect.</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6. This circular is applicable to all Primary (Urban) Co-operative Banks.</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71" w:history="1">
        <w:r w:rsidRPr="00735218">
          <w:rPr>
            <w:rStyle w:val="Hyperlink"/>
            <w:rFonts w:ascii="Arial" w:hAnsi="Arial" w:cs="Arial"/>
            <w:bCs/>
            <w:sz w:val="20"/>
            <w:szCs w:val="20"/>
          </w:rPr>
          <w:t>https://m.rbi.org.in/scripts/FS_Notification.aspx?Id=12416&amp;fn=2755&amp;Mode=0</w:t>
        </w:r>
      </w:hyperlink>
    </w:p>
    <w:p w:rsidR="00C96881" w:rsidRDefault="00C96881" w:rsidP="00C96881">
      <w:pPr>
        <w:rPr>
          <w:rFonts w:ascii="Arial" w:hAnsi="Arial" w:cs="Arial"/>
          <w:bCs/>
          <w:color w:val="000000"/>
          <w:sz w:val="20"/>
          <w:szCs w:val="20"/>
        </w:rPr>
      </w:pPr>
    </w:p>
    <w:p w:rsidR="00C96881" w:rsidRDefault="00C96881" w:rsidP="00C96881">
      <w:pPr>
        <w:rPr>
          <w:rFonts w:ascii="Arial" w:hAnsi="Arial" w:cs="Arial"/>
          <w:bCs/>
          <w:color w:val="000000"/>
          <w:sz w:val="20"/>
          <w:szCs w:val="20"/>
        </w:rPr>
      </w:pPr>
    </w:p>
    <w:p w:rsidR="00C96881" w:rsidRDefault="00C96881" w:rsidP="00C96881">
      <w:pPr>
        <w:rPr>
          <w:rFonts w:ascii="Arial" w:hAnsi="Arial" w:cs="Arial"/>
          <w:b/>
          <w:bCs/>
          <w:color w:val="000000"/>
          <w:sz w:val="20"/>
          <w:szCs w:val="20"/>
        </w:rPr>
      </w:pPr>
    </w:p>
    <w:p w:rsidR="00C96881" w:rsidRDefault="00C96881" w:rsidP="00C96881">
      <w:pPr>
        <w:rPr>
          <w:rFonts w:ascii="Arial" w:hAnsi="Arial" w:cs="Arial"/>
          <w:b/>
          <w:bCs/>
          <w:color w:val="000000"/>
          <w:sz w:val="20"/>
          <w:szCs w:val="20"/>
        </w:rPr>
      </w:pPr>
    </w:p>
    <w:p w:rsidR="00C96881" w:rsidRDefault="00C96881" w:rsidP="0001090D">
      <w:pPr>
        <w:rPr>
          <w:rFonts w:ascii="Arial" w:hAnsi="Arial" w:cs="Arial"/>
          <w:bCs/>
          <w:color w:val="000000"/>
          <w:sz w:val="20"/>
          <w:szCs w:val="20"/>
        </w:rPr>
      </w:pPr>
    </w:p>
    <w:p w:rsidR="00C96881" w:rsidRDefault="00C96881" w:rsidP="0001090D">
      <w:pPr>
        <w:rPr>
          <w:rFonts w:ascii="Arial" w:hAnsi="Arial" w:cs="Arial"/>
          <w:bCs/>
          <w:color w:val="000000"/>
          <w:sz w:val="20"/>
          <w:szCs w:val="20"/>
        </w:rPr>
      </w:pPr>
    </w:p>
    <w:p w:rsidR="00C96881" w:rsidRDefault="00C96881" w:rsidP="00C96881">
      <w:pPr>
        <w:spacing w:after="0"/>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C96881" w:rsidRDefault="00C96881" w:rsidP="00C96881">
      <w:pPr>
        <w:spacing w:after="0"/>
        <w:rPr>
          <w:rFonts w:ascii="Arial" w:hAnsi="Arial" w:cs="Arial"/>
          <w:b/>
          <w:bCs/>
          <w:color w:val="000000"/>
          <w:sz w:val="20"/>
          <w:szCs w:val="20"/>
        </w:rPr>
      </w:pP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RBI/2022-23/145</w:t>
      </w:r>
      <w:r>
        <w:rPr>
          <w:rFonts w:ascii="Arial" w:hAnsi="Arial" w:cs="Arial"/>
          <w:color w:val="000000"/>
          <w:sz w:val="20"/>
          <w:szCs w:val="20"/>
        </w:rPr>
        <w:br/>
        <w:t>DOR.MRG.REC.87/00-00-020/2022-23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1, 2022</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 xml:space="preserve">Operations of subsidiaries and branches of Indian banks and All India Financial Institutions (AIFIs) in foreign jurisdictions and in International Financial Services </w:t>
      </w:r>
      <w:proofErr w:type="spellStart"/>
      <w:r>
        <w:rPr>
          <w:rFonts w:ascii="Arial" w:hAnsi="Arial" w:cs="Arial"/>
          <w:b/>
          <w:bCs/>
          <w:color w:val="000000"/>
          <w:sz w:val="20"/>
          <w:szCs w:val="20"/>
        </w:rPr>
        <w:t>Centers</w:t>
      </w:r>
      <w:proofErr w:type="spellEnd"/>
      <w:r>
        <w:rPr>
          <w:rFonts w:ascii="Arial" w:hAnsi="Arial" w:cs="Arial"/>
          <w:b/>
          <w:bCs/>
          <w:color w:val="000000"/>
          <w:sz w:val="20"/>
          <w:szCs w:val="20"/>
        </w:rPr>
        <w:t xml:space="preserve"> (IFSCs) - Compliance with statutory/regulatory norms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As you are aware, Reserve Bank had vide </w:t>
      </w:r>
      <w:hyperlink r:id="rId172" w:tgtFrame="_blank" w:history="1">
        <w:r>
          <w:rPr>
            <w:rStyle w:val="Hyperlink"/>
            <w:rFonts w:ascii="Arial" w:hAnsi="Arial" w:cs="Arial"/>
            <w:sz w:val="20"/>
            <w:szCs w:val="20"/>
          </w:rPr>
          <w:t>circular DBOD.No.BP.BC.89/21.04.141/2008-09 dated December 1, 2008</w:t>
        </w:r>
      </w:hyperlink>
      <w:r>
        <w:rPr>
          <w:rFonts w:ascii="Arial" w:hAnsi="Arial" w:cs="Arial"/>
          <w:color w:val="000000"/>
          <w:sz w:val="20"/>
          <w:szCs w:val="20"/>
        </w:rPr>
        <w:t> and </w:t>
      </w:r>
      <w:hyperlink r:id="rId173" w:tgtFrame="_blank" w:history="1">
        <w:r>
          <w:rPr>
            <w:rStyle w:val="Hyperlink"/>
            <w:rFonts w:ascii="Arial" w:hAnsi="Arial" w:cs="Arial"/>
            <w:sz w:val="20"/>
            <w:szCs w:val="20"/>
          </w:rPr>
          <w:t>circular DBOD.No.BP.BC.111/21.04.157/2013-14 dated May 12, 2014</w:t>
        </w:r>
      </w:hyperlink>
      <w:r>
        <w:rPr>
          <w:rFonts w:ascii="Arial" w:hAnsi="Arial" w:cs="Arial"/>
          <w:color w:val="000000"/>
          <w:sz w:val="20"/>
          <w:szCs w:val="20"/>
        </w:rPr>
        <w:t xml:space="preserve"> issued instructions to Indian banks and AIFIs on the issue of dealing in financial products by their branches/subsidiaries operating outside India. On a review, it was felt that a framework needs to be in place to allow them to undertake activities which are not specifically permitted in the Indian domestic market and also to specify the applicability of these instructions to International Financial Services </w:t>
      </w:r>
      <w:proofErr w:type="spellStart"/>
      <w:r>
        <w:rPr>
          <w:rFonts w:ascii="Arial" w:hAnsi="Arial" w:cs="Arial"/>
          <w:color w:val="000000"/>
          <w:sz w:val="20"/>
          <w:szCs w:val="20"/>
        </w:rPr>
        <w:t>Centers</w:t>
      </w:r>
      <w:proofErr w:type="spellEnd"/>
      <w:r>
        <w:rPr>
          <w:rFonts w:ascii="Arial" w:hAnsi="Arial" w:cs="Arial"/>
          <w:color w:val="000000"/>
          <w:sz w:val="20"/>
          <w:szCs w:val="20"/>
        </w:rPr>
        <w:t xml:space="preserve"> (IFSCs) in India including Gujarat International Finance Tec-City (GIFT City).</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1. Applicability and commencement</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2. Dealing in financial products</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3. Conditions for dealing in financial products</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4. Compliance with prudential norms</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5. Activities subject to Indian laws</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6. Repeal of earlier instructions</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Pr="00435B25" w:rsidRDefault="00C96881" w:rsidP="00C96881">
      <w:pPr>
        <w:spacing w:after="0"/>
        <w:rPr>
          <w:rFonts w:ascii="Arial" w:hAnsi="Arial" w:cs="Arial"/>
          <w:sz w:val="20"/>
          <w:szCs w:val="20"/>
        </w:rPr>
      </w:pPr>
      <w:r w:rsidRPr="00435B25">
        <w:rPr>
          <w:rFonts w:ascii="Arial" w:hAnsi="Arial" w:cs="Arial"/>
          <w:sz w:val="20"/>
          <w:szCs w:val="20"/>
        </w:rPr>
        <w:t>More details can be referred to in the below link.</w:t>
      </w:r>
    </w:p>
    <w:p w:rsidR="00C96881" w:rsidRDefault="00C96881" w:rsidP="00C96881">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74" w:history="1">
        <w:r w:rsidRPr="00200311">
          <w:rPr>
            <w:rStyle w:val="Hyperlink"/>
            <w:rFonts w:ascii="Arial" w:hAnsi="Arial" w:cs="Arial"/>
            <w:sz w:val="20"/>
            <w:szCs w:val="20"/>
          </w:rPr>
          <w:t>https://m.rbi.org.in/scripts/FS_Notification.aspx?Id=12417&amp;fn=14&amp;Mode=0</w:t>
        </w:r>
      </w:hyperlink>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01090D">
      <w:pPr>
        <w:rPr>
          <w:rFonts w:ascii="Arial" w:hAnsi="Arial" w:cs="Arial"/>
          <w:bCs/>
          <w:color w:val="000000"/>
          <w:sz w:val="20"/>
          <w:szCs w:val="20"/>
        </w:rPr>
      </w:pPr>
    </w:p>
    <w:p w:rsidR="00C96881" w:rsidRDefault="00C96881" w:rsidP="00C96881">
      <w:pPr>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RBI/2022-23/146</w:t>
      </w:r>
      <w:r>
        <w:rPr>
          <w:rFonts w:ascii="Arial" w:hAnsi="Arial" w:cs="Arial"/>
          <w:color w:val="000000"/>
          <w:sz w:val="20"/>
          <w:szCs w:val="20"/>
        </w:rPr>
        <w:br/>
        <w:t>DOR.CAP.REC.No.86/09.18.201/2022-23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1, 2022</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Dear Sir/Madam,</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the Revised Regulatory Framework for Urban Co-operative Banks (UCBs) emanating from the recommendations of Expert Committee on Urban Co-operative Banks (</w:t>
      </w:r>
      <w:hyperlink r:id="rId175" w:tgtFrame="_blank" w:history="1">
        <w:r>
          <w:rPr>
            <w:rStyle w:val="Hyperlink"/>
            <w:rFonts w:ascii="Arial" w:hAnsi="Arial" w:cs="Arial"/>
            <w:sz w:val="20"/>
            <w:szCs w:val="20"/>
          </w:rPr>
          <w:t>Press Release: 2022-2023/561 dated July 19, 2022</w:t>
        </w:r>
      </w:hyperlink>
      <w:r>
        <w:rPr>
          <w:rFonts w:ascii="Arial" w:hAnsi="Arial" w:cs="Arial"/>
          <w:color w:val="000000"/>
          <w:sz w:val="20"/>
          <w:szCs w:val="20"/>
        </w:rPr>
        <w:t>) and </w:t>
      </w:r>
      <w:hyperlink r:id="rId176" w:tgtFrame="_blank" w:history="1">
        <w:r>
          <w:rPr>
            <w:rStyle w:val="Hyperlink"/>
            <w:rFonts w:ascii="Arial" w:hAnsi="Arial" w:cs="Arial"/>
            <w:sz w:val="20"/>
            <w:szCs w:val="20"/>
          </w:rPr>
          <w:t>circular no. DOR.REG.No.84/07.01.000/2022-23 dated December 1, 2022</w:t>
        </w:r>
      </w:hyperlink>
      <w:r>
        <w:rPr>
          <w:rFonts w:ascii="Arial" w:hAnsi="Arial" w:cs="Arial"/>
          <w:color w:val="000000"/>
          <w:sz w:val="20"/>
          <w:szCs w:val="20"/>
        </w:rPr>
        <w:t>, on Revised Regulatory Framework - Categorization of Urban Co-operative Banks (UCBs) for Regulatory Purposes. The detailed guidelines are provided below:</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 Net Worth</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2. UCBs shall have minimum net worth as under:</w:t>
      </w:r>
    </w:p>
    <w:p w:rsidR="00C96881" w:rsidRDefault="00C96881" w:rsidP="00DA1141">
      <w:pPr>
        <w:pStyle w:val="NormalWeb"/>
        <w:numPr>
          <w:ilvl w:val="0"/>
          <w:numId w:val="15"/>
        </w:numPr>
        <w:spacing w:before="0" w:beforeAutospacing="0"/>
        <w:ind w:left="0"/>
        <w:jc w:val="both"/>
        <w:rPr>
          <w:rFonts w:ascii="Arial" w:hAnsi="Arial" w:cs="Arial"/>
          <w:color w:val="000000"/>
          <w:sz w:val="20"/>
          <w:szCs w:val="20"/>
        </w:rPr>
      </w:pPr>
      <w:r>
        <w:rPr>
          <w:rFonts w:ascii="Arial" w:hAnsi="Arial" w:cs="Arial"/>
          <w:color w:val="000000"/>
          <w:sz w:val="20"/>
          <w:szCs w:val="20"/>
        </w:rPr>
        <w:t xml:space="preserve">Tier 1 UCBs operating in a single district shall have minimum net worth of ₹2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C96881" w:rsidRDefault="00C96881" w:rsidP="00DA1141">
      <w:pPr>
        <w:pStyle w:val="NormalWeb"/>
        <w:numPr>
          <w:ilvl w:val="0"/>
          <w:numId w:val="15"/>
        </w:numPr>
        <w:ind w:left="0"/>
        <w:jc w:val="both"/>
        <w:rPr>
          <w:rFonts w:ascii="Arial" w:hAnsi="Arial" w:cs="Arial"/>
          <w:color w:val="000000"/>
          <w:sz w:val="20"/>
          <w:szCs w:val="20"/>
        </w:rPr>
      </w:pPr>
      <w:r>
        <w:rPr>
          <w:rFonts w:ascii="Arial" w:hAnsi="Arial" w:cs="Arial"/>
          <w:color w:val="000000"/>
          <w:sz w:val="20"/>
          <w:szCs w:val="20"/>
        </w:rPr>
        <w:t xml:space="preserve">All other UCBs (of all tiers) shall have minimum net worth of ₹5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C96881" w:rsidRDefault="00C96881" w:rsidP="00DA1141">
      <w:pPr>
        <w:pStyle w:val="NormalWeb"/>
        <w:numPr>
          <w:ilvl w:val="0"/>
          <w:numId w:val="15"/>
        </w:numPr>
        <w:spacing w:after="0" w:afterAutospacing="0"/>
        <w:ind w:left="0"/>
        <w:jc w:val="both"/>
        <w:rPr>
          <w:rFonts w:ascii="Arial" w:hAnsi="Arial" w:cs="Arial"/>
          <w:color w:val="000000"/>
          <w:sz w:val="20"/>
          <w:szCs w:val="20"/>
        </w:rPr>
      </w:pPr>
      <w:r>
        <w:rPr>
          <w:rFonts w:ascii="Arial" w:hAnsi="Arial" w:cs="Arial"/>
          <w:color w:val="000000"/>
          <w:sz w:val="20"/>
          <w:szCs w:val="20"/>
        </w:rPr>
        <w:t xml:space="preserve">UCBs which currently do not meet the minimum net worth requirement, as above, shall achieve the minimum net worth of ₹2 crore or ₹5 </w:t>
      </w:r>
      <w:proofErr w:type="gramStart"/>
      <w:r>
        <w:rPr>
          <w:rFonts w:ascii="Arial" w:hAnsi="Arial" w:cs="Arial"/>
          <w:color w:val="000000"/>
          <w:sz w:val="20"/>
          <w:szCs w:val="20"/>
        </w:rPr>
        <w:t>crore</w:t>
      </w:r>
      <w:proofErr w:type="gramEnd"/>
      <w:r>
        <w:rPr>
          <w:rFonts w:ascii="Arial" w:hAnsi="Arial" w:cs="Arial"/>
          <w:color w:val="000000"/>
          <w:sz w:val="20"/>
          <w:szCs w:val="20"/>
        </w:rPr>
        <w:t xml:space="preserve"> (as applicable) in a phased manner. Such UCBs shall achieve at least 50 per cent of the applicable minimum net worth on or before March 31, 2026 and the entire stipulated minimum net worth on or before March 31, 2028.</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B. Minimum capital to risk weighted assets ratio (CRAR) requirement</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3. UCBs shall maintain minimum CRAR as under:</w:t>
      </w:r>
    </w:p>
    <w:p w:rsidR="00C96881" w:rsidRDefault="00C96881" w:rsidP="00DA1141">
      <w:pPr>
        <w:pStyle w:val="NormalWeb"/>
        <w:numPr>
          <w:ilvl w:val="0"/>
          <w:numId w:val="16"/>
        </w:numPr>
        <w:spacing w:before="0" w:beforeAutospacing="0"/>
        <w:ind w:left="0"/>
        <w:jc w:val="both"/>
        <w:rPr>
          <w:rFonts w:ascii="Arial" w:hAnsi="Arial" w:cs="Arial"/>
          <w:color w:val="000000"/>
          <w:sz w:val="20"/>
          <w:szCs w:val="20"/>
        </w:rPr>
      </w:pPr>
      <w:r>
        <w:rPr>
          <w:rFonts w:ascii="Arial" w:hAnsi="Arial" w:cs="Arial"/>
          <w:color w:val="000000"/>
          <w:sz w:val="20"/>
          <w:szCs w:val="20"/>
        </w:rPr>
        <w:t>Tier 1 UCBs shall maintain, as hitherto, a minimum CRAR of 9 per cent of Risk Weighted Assets (RWAs) on an ongoing basis.</w:t>
      </w:r>
    </w:p>
    <w:p w:rsidR="00C96881" w:rsidRDefault="00C96881" w:rsidP="00DA1141">
      <w:pPr>
        <w:pStyle w:val="NormalWeb"/>
        <w:numPr>
          <w:ilvl w:val="0"/>
          <w:numId w:val="16"/>
        </w:numPr>
        <w:ind w:left="0"/>
        <w:jc w:val="both"/>
        <w:rPr>
          <w:rFonts w:ascii="Arial" w:hAnsi="Arial" w:cs="Arial"/>
          <w:color w:val="000000"/>
          <w:sz w:val="20"/>
          <w:szCs w:val="20"/>
        </w:rPr>
      </w:pPr>
      <w:r>
        <w:rPr>
          <w:rFonts w:ascii="Arial" w:hAnsi="Arial" w:cs="Arial"/>
          <w:color w:val="000000"/>
          <w:sz w:val="20"/>
          <w:szCs w:val="20"/>
        </w:rPr>
        <w:t>Tier 2 to 4 UCBs shall maintain a minimum CRAR of 12 per cent of RWAs on an ongoing basis.</w:t>
      </w:r>
    </w:p>
    <w:p w:rsidR="00C96881" w:rsidRDefault="00C96881" w:rsidP="00DA1141">
      <w:pPr>
        <w:pStyle w:val="NormalWeb"/>
        <w:numPr>
          <w:ilvl w:val="0"/>
          <w:numId w:val="16"/>
        </w:numPr>
        <w:spacing w:after="0" w:afterAutospacing="0"/>
        <w:ind w:left="0"/>
        <w:jc w:val="both"/>
        <w:rPr>
          <w:rFonts w:ascii="Arial" w:hAnsi="Arial" w:cs="Arial"/>
          <w:color w:val="000000"/>
          <w:sz w:val="20"/>
          <w:szCs w:val="20"/>
        </w:rPr>
      </w:pPr>
      <w:r>
        <w:rPr>
          <w:rFonts w:ascii="Arial" w:hAnsi="Arial" w:cs="Arial"/>
          <w:color w:val="000000"/>
          <w:sz w:val="20"/>
          <w:szCs w:val="20"/>
        </w:rPr>
        <w:t>UCBs in Tier 2 to 4, which do not currently meet the revised CRAR of 12 per cent of RWAs, shall achieve the same in a phased manner. Such UCBs shall achieve the CRAR of at least 10 per cent by March 31, 2024, 11 per cent by March 31, 2025, and 12 per cent by March 31, 2026.</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C. Revaluation Reserves</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 xml:space="preserve">5. Revaluation reserves, arising out of change in the carrying amount of a bank’s property consequent upon its revaluation, may henceforth be reckoned as Tier 1 capital at a discount of 55 per cent. </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rPr>
          <w:rFonts w:ascii="Arial" w:hAnsi="Arial" w:cs="Arial"/>
          <w:sz w:val="20"/>
          <w:szCs w:val="20"/>
        </w:rPr>
      </w:pPr>
    </w:p>
    <w:p w:rsidR="00C96881" w:rsidRDefault="00C96881" w:rsidP="00C96881">
      <w:pPr>
        <w:rPr>
          <w:rFonts w:ascii="Arial" w:hAnsi="Arial" w:cs="Arial"/>
          <w:sz w:val="20"/>
          <w:szCs w:val="20"/>
        </w:rPr>
      </w:pPr>
    </w:p>
    <w:p w:rsidR="00C96881" w:rsidRDefault="00C96881" w:rsidP="00C96881">
      <w:r>
        <w:lastRenderedPageBreak/>
        <w:t>More details can be referred to in the below link.</w:t>
      </w:r>
    </w:p>
    <w:p w:rsidR="00C96881" w:rsidRDefault="00C96881" w:rsidP="00C96881">
      <w:pPr>
        <w:rPr>
          <w:rFonts w:ascii="Arial" w:hAnsi="Arial" w:cs="Arial"/>
          <w:bCs/>
          <w:color w:val="000000"/>
          <w:sz w:val="20"/>
          <w:szCs w:val="20"/>
        </w:rPr>
      </w:pPr>
      <w:r>
        <w:rPr>
          <w:rFonts w:ascii="Arial" w:hAnsi="Arial" w:cs="Arial"/>
          <w:bCs/>
          <w:color w:val="000000"/>
          <w:sz w:val="20"/>
          <w:szCs w:val="20"/>
        </w:rPr>
        <w:t xml:space="preserve">Reference Link: </w:t>
      </w:r>
      <w:hyperlink r:id="rId177" w:anchor=":~:text=UCBs%20shall%20have%20minimum%20net,worth%20of%20%E2%82%B95%20crore" w:history="1">
        <w:r w:rsidRPr="00735218">
          <w:rPr>
            <w:rStyle w:val="Hyperlink"/>
            <w:rFonts w:ascii="Arial" w:hAnsi="Arial" w:cs="Arial"/>
            <w:bCs/>
            <w:sz w:val="20"/>
            <w:szCs w:val="20"/>
          </w:rPr>
          <w:t>https://m.rbi.org.in/scripts/FS_Notification.aspx?Id=12418&amp;fn=2755&amp;Mode=0#:~:text=UCBs%20shall%20have%20minimum%20net,worth%20of%20%E2%82%B95%20crore</w:t>
        </w:r>
      </w:hyperlink>
      <w:r w:rsidRPr="00587F28">
        <w:rPr>
          <w:rFonts w:ascii="Arial" w:hAnsi="Arial" w:cs="Arial"/>
          <w:bCs/>
          <w:color w:val="000000"/>
          <w:sz w:val="20"/>
          <w:szCs w:val="20"/>
        </w:rPr>
        <w:t>.</w:t>
      </w:r>
    </w:p>
    <w:p w:rsidR="00C96881" w:rsidRDefault="00C96881" w:rsidP="00C96881">
      <w:pPr>
        <w:pStyle w:val="NormalWeb"/>
        <w:rPr>
          <w:rFonts w:ascii="Arial" w:hAnsi="Arial" w:cs="Arial"/>
          <w:b/>
          <w:bCs/>
          <w:color w:val="000000"/>
          <w:sz w:val="20"/>
          <w:szCs w:val="20"/>
        </w:rPr>
      </w:pPr>
      <w:r>
        <w:rPr>
          <w:rFonts w:ascii="Arial" w:hAnsi="Arial" w:cs="Arial"/>
          <w:b/>
          <w:bCs/>
          <w:color w:val="000000"/>
          <w:sz w:val="20"/>
          <w:szCs w:val="20"/>
        </w:rPr>
        <w:t>Review of SLR holdings in HTM category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RBI/2022-23/150</w:t>
      </w:r>
      <w:r>
        <w:rPr>
          <w:rFonts w:ascii="Arial" w:hAnsi="Arial" w:cs="Arial"/>
          <w:color w:val="000000"/>
          <w:sz w:val="20"/>
          <w:szCs w:val="20"/>
        </w:rPr>
        <w:br/>
        <w:t>DOR.MRG.REC.89/21.04.141/2022-23</w:t>
      </w:r>
    </w:p>
    <w:p w:rsidR="00C96881" w:rsidRDefault="00C96881" w:rsidP="00C96881">
      <w:pPr>
        <w:pStyle w:val="NormalWeb"/>
        <w:jc w:val="right"/>
        <w:rPr>
          <w:rFonts w:ascii="Arial" w:hAnsi="Arial" w:cs="Arial"/>
          <w:color w:val="000000"/>
          <w:sz w:val="20"/>
          <w:szCs w:val="20"/>
        </w:rPr>
      </w:pPr>
      <w:r>
        <w:rPr>
          <w:rFonts w:ascii="Arial" w:hAnsi="Arial" w:cs="Arial"/>
          <w:color w:val="000000"/>
          <w:sz w:val="20"/>
          <w:szCs w:val="20"/>
        </w:rPr>
        <w:t>December 8, 2022</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Review of SLR holdings in HTM category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Please refer to paragraph 1 of </w:t>
      </w:r>
      <w:hyperlink r:id="rId178" w:tgtFrame="_blank" w:history="1">
        <w:r>
          <w:rPr>
            <w:rStyle w:val="Hyperlink"/>
            <w:rFonts w:ascii="Arial" w:hAnsi="Arial" w:cs="Arial"/>
            <w:sz w:val="20"/>
            <w:szCs w:val="20"/>
          </w:rPr>
          <w:t>Statement on Development and Regulatory Policies</w:t>
        </w:r>
      </w:hyperlink>
      <w:r>
        <w:rPr>
          <w:rFonts w:ascii="Arial" w:hAnsi="Arial" w:cs="Arial"/>
          <w:color w:val="000000"/>
          <w:sz w:val="20"/>
          <w:szCs w:val="20"/>
        </w:rPr>
        <w:t> of the </w:t>
      </w:r>
      <w:hyperlink r:id="rId179" w:tgtFrame="_blank" w:history="1">
        <w:r>
          <w:rPr>
            <w:rStyle w:val="Hyperlink"/>
            <w:rFonts w:ascii="Arial" w:hAnsi="Arial" w:cs="Arial"/>
            <w:sz w:val="20"/>
            <w:szCs w:val="20"/>
          </w:rPr>
          <w:t>Monetary Policy Statement, 2022-23 dated December 7, 2022</w:t>
        </w:r>
      </w:hyperlink>
      <w:r>
        <w:rPr>
          <w:rFonts w:ascii="Arial" w:hAnsi="Arial" w:cs="Arial"/>
          <w:color w:val="000000"/>
          <w:sz w:val="20"/>
          <w:szCs w:val="20"/>
        </w:rPr>
        <w:t> and Section 6(iv)(a) of </w:t>
      </w:r>
      <w:hyperlink r:id="rId180" w:tgtFrame="_blank" w:history="1">
        <w:r>
          <w:rPr>
            <w:rStyle w:val="Hyperlink"/>
            <w:rFonts w:ascii="Arial" w:hAnsi="Arial" w:cs="Arial"/>
            <w:sz w:val="20"/>
            <w:szCs w:val="20"/>
          </w:rPr>
          <w:t>Master Direction - Classification, Valuation and Operation of Investment Portfolio of Commercial Banks (Directions), 2021 dated August 25, 2021</w:t>
        </w:r>
      </w:hyperlink>
      <w:r>
        <w:rPr>
          <w:rFonts w:ascii="Arial" w:hAnsi="Arial" w:cs="Arial"/>
          <w:color w:val="000000"/>
          <w:sz w:val="20"/>
          <w:szCs w:val="20"/>
        </w:rPr>
        <w: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2. At present, banks have been granted a special dispensation of enhanced Held to Maturity (HTM) limit of 23 per cent of Net Demand and Time Liabilities (NDTL), for Statutory Liquidity Ratio (SLR) eligible securities acquired between September 1, 2020 and March 31, 2023, until March 31, 2023.</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 xml:space="preserve">3. On a review, it has been decided to further extend the dispensation of enhanced HTM limit of 23 per cent of NDTL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March 31, 2024 and allow banks to include securities acquired between September 1, 2020 and March 31, 2024 under the enhanced limit of 23 per cent.</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4. The enhanced HTM limit of 23 per cent shall be restored to 19.5 percent in a phased manner, beginning from the quarter ending June 30, 2024, i.e., the excess SLR securities acquired by banks during the period September 1, 2020 to March 31, 2024 shall be progressively reduced such that the total SLR securities held in the HTM category as a percentage of the NDTL do not exceed:</w:t>
      </w:r>
    </w:p>
    <w:p w:rsidR="00C96881" w:rsidRDefault="00C96881" w:rsidP="00DA1141">
      <w:pPr>
        <w:pStyle w:val="NormalWeb"/>
        <w:numPr>
          <w:ilvl w:val="0"/>
          <w:numId w:val="17"/>
        </w:numPr>
        <w:ind w:left="0"/>
        <w:jc w:val="both"/>
        <w:rPr>
          <w:rFonts w:ascii="Arial" w:hAnsi="Arial" w:cs="Arial"/>
          <w:color w:val="000000"/>
          <w:sz w:val="20"/>
          <w:szCs w:val="20"/>
        </w:rPr>
      </w:pPr>
      <w:r>
        <w:rPr>
          <w:rFonts w:ascii="Arial" w:hAnsi="Arial" w:cs="Arial"/>
          <w:color w:val="000000"/>
          <w:sz w:val="20"/>
          <w:szCs w:val="20"/>
        </w:rPr>
        <w:t>22.00 per cent as on June 30, 2024</w:t>
      </w:r>
    </w:p>
    <w:p w:rsidR="00C96881" w:rsidRDefault="00C96881" w:rsidP="00DA1141">
      <w:pPr>
        <w:pStyle w:val="NormalWeb"/>
        <w:numPr>
          <w:ilvl w:val="0"/>
          <w:numId w:val="17"/>
        </w:numPr>
        <w:ind w:left="0"/>
        <w:jc w:val="both"/>
        <w:rPr>
          <w:rFonts w:ascii="Arial" w:hAnsi="Arial" w:cs="Arial"/>
          <w:color w:val="000000"/>
          <w:sz w:val="20"/>
          <w:szCs w:val="20"/>
        </w:rPr>
      </w:pPr>
      <w:r>
        <w:rPr>
          <w:rFonts w:ascii="Arial" w:hAnsi="Arial" w:cs="Arial"/>
          <w:color w:val="000000"/>
          <w:sz w:val="20"/>
          <w:szCs w:val="20"/>
        </w:rPr>
        <w:t>21.00 per cent as on September 30, 2024</w:t>
      </w:r>
    </w:p>
    <w:p w:rsidR="00C96881" w:rsidRDefault="00C96881" w:rsidP="00DA1141">
      <w:pPr>
        <w:pStyle w:val="NormalWeb"/>
        <w:numPr>
          <w:ilvl w:val="0"/>
          <w:numId w:val="17"/>
        </w:numPr>
        <w:ind w:left="0"/>
        <w:jc w:val="both"/>
        <w:rPr>
          <w:rFonts w:ascii="Arial" w:hAnsi="Arial" w:cs="Arial"/>
          <w:color w:val="000000"/>
          <w:sz w:val="20"/>
          <w:szCs w:val="20"/>
        </w:rPr>
      </w:pPr>
      <w:r>
        <w:rPr>
          <w:rFonts w:ascii="Arial" w:hAnsi="Arial" w:cs="Arial"/>
          <w:color w:val="000000"/>
          <w:sz w:val="20"/>
          <w:szCs w:val="20"/>
        </w:rPr>
        <w:t>20.00 per cent as on December 31, 2024</w:t>
      </w:r>
    </w:p>
    <w:p w:rsidR="00C96881" w:rsidRDefault="00C96881" w:rsidP="00DA1141">
      <w:pPr>
        <w:pStyle w:val="NormalWeb"/>
        <w:numPr>
          <w:ilvl w:val="0"/>
          <w:numId w:val="17"/>
        </w:numPr>
        <w:ind w:left="0"/>
        <w:jc w:val="both"/>
        <w:rPr>
          <w:rFonts w:ascii="Arial" w:hAnsi="Arial" w:cs="Arial"/>
          <w:color w:val="000000"/>
          <w:sz w:val="20"/>
          <w:szCs w:val="20"/>
        </w:rPr>
      </w:pPr>
      <w:r>
        <w:rPr>
          <w:rFonts w:ascii="Arial" w:hAnsi="Arial" w:cs="Arial"/>
          <w:color w:val="000000"/>
          <w:sz w:val="20"/>
          <w:szCs w:val="20"/>
        </w:rPr>
        <w:t>19.50 per cent as on March 31, 2025</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All other instructions shall remain unchanged.</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5. The relevant sections of the Master Direction are being amended to reflect the aforementioned changes.</w:t>
      </w:r>
    </w:p>
    <w:p w:rsidR="00C96881" w:rsidRDefault="00C96881" w:rsidP="00C9688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6. This circular is applicable to all Commercial Banks.</w:t>
      </w:r>
    </w:p>
    <w:p w:rsidR="00C96881" w:rsidRDefault="00C96881" w:rsidP="00C96881">
      <w:pPr>
        <w:pStyle w:val="NormalWeb"/>
        <w:jc w:val="both"/>
        <w:rPr>
          <w:rFonts w:ascii="Arial" w:hAnsi="Arial" w:cs="Arial"/>
          <w:color w:val="000000"/>
          <w:sz w:val="20"/>
          <w:szCs w:val="20"/>
        </w:rPr>
      </w:pPr>
      <w:r>
        <w:rPr>
          <w:rFonts w:ascii="Arial" w:hAnsi="Arial" w:cs="Arial"/>
          <w:color w:val="000000"/>
          <w:sz w:val="20"/>
          <w:szCs w:val="20"/>
        </w:rPr>
        <w:t>7. These instructions shall come into force with immediate effect.</w:t>
      </w:r>
    </w:p>
    <w:p w:rsidR="00C96881" w:rsidRDefault="00C96881" w:rsidP="00C96881">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96881" w:rsidRDefault="00C96881" w:rsidP="00C9688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p>
    <w:p w:rsidR="00C96881" w:rsidRDefault="00C96881" w:rsidP="00C96881">
      <w:pPr>
        <w:spacing w:after="0"/>
        <w:rPr>
          <w:rFonts w:ascii="Arial" w:hAnsi="Arial" w:cs="Arial"/>
          <w:sz w:val="20"/>
          <w:szCs w:val="20"/>
        </w:rPr>
      </w:pPr>
      <w:r w:rsidRPr="00435B25">
        <w:rPr>
          <w:rFonts w:ascii="Arial" w:hAnsi="Arial" w:cs="Arial"/>
          <w:sz w:val="20"/>
          <w:szCs w:val="20"/>
        </w:rPr>
        <w:lastRenderedPageBreak/>
        <w:t>More details can be referred to in the below link.</w:t>
      </w:r>
    </w:p>
    <w:p w:rsidR="00C96881" w:rsidRDefault="00C96881" w:rsidP="00C96881">
      <w:pPr>
        <w:rPr>
          <w:rStyle w:val="Hyperlink"/>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81" w:anchor=":~:text=Review%20of%20SLR%20holdings%20in%20HTM%20category&amp;text=3.,4" w:history="1">
        <w:r w:rsidRPr="006865D6">
          <w:rPr>
            <w:rStyle w:val="Hyperlink"/>
            <w:rFonts w:ascii="Arial" w:hAnsi="Arial" w:cs="Arial"/>
            <w:sz w:val="20"/>
            <w:szCs w:val="20"/>
          </w:rPr>
          <w:t>https://www.rbi.org.in/scripts/FS_Notification.aspx?Id=12422&amp;fn=2&amp;Mode=0#:~:text=Review%20of%20SLR%20holdings%20in%20HTM%20category&amp;text=3.,4</w:t>
        </w:r>
      </w:hyperlink>
    </w:p>
    <w:p w:rsidR="00DA1141" w:rsidRDefault="00DA1141" w:rsidP="00C96881">
      <w:pPr>
        <w:rPr>
          <w:rStyle w:val="Hyperlink"/>
          <w:rFonts w:ascii="Arial" w:hAnsi="Arial" w:cs="Arial"/>
          <w:sz w:val="20"/>
          <w:szCs w:val="20"/>
        </w:rPr>
      </w:pPr>
    </w:p>
    <w:p w:rsidR="00DA1141" w:rsidRPr="005A38FC" w:rsidRDefault="00DA1141" w:rsidP="00DA1141">
      <w:pPr>
        <w:spacing w:after="0"/>
        <w:rPr>
          <w:rFonts w:ascii="Arial" w:hAnsi="Arial" w:cs="Arial"/>
          <w:b/>
          <w:bCs/>
          <w:color w:val="000000"/>
          <w:sz w:val="20"/>
          <w:szCs w:val="20"/>
        </w:rPr>
      </w:pPr>
      <w:r w:rsidRPr="005A38FC">
        <w:rPr>
          <w:rFonts w:ascii="Arial" w:hAnsi="Arial" w:cs="Arial"/>
          <w:b/>
          <w:bCs/>
          <w:color w:val="000000"/>
          <w:sz w:val="20"/>
          <w:szCs w:val="20"/>
        </w:rPr>
        <w:t>Hedging of Gold Price Risk in Overseas Markets</w:t>
      </w:r>
    </w:p>
    <w:p w:rsidR="00DA1141" w:rsidRPr="005A38FC" w:rsidRDefault="00DA1141" w:rsidP="00DA1141">
      <w:pPr>
        <w:pStyle w:val="NormalWeb"/>
        <w:rPr>
          <w:rFonts w:ascii="Arial" w:hAnsi="Arial" w:cs="Arial"/>
          <w:sz w:val="20"/>
          <w:szCs w:val="20"/>
        </w:rPr>
      </w:pPr>
      <w:r w:rsidRPr="005A38FC">
        <w:rPr>
          <w:rFonts w:ascii="Arial" w:hAnsi="Arial" w:cs="Arial"/>
          <w:sz w:val="20"/>
          <w:szCs w:val="20"/>
        </w:rPr>
        <w:t>RBI/2022-23/151</w:t>
      </w:r>
      <w:r w:rsidRPr="005A38FC">
        <w:rPr>
          <w:rFonts w:ascii="Arial" w:hAnsi="Arial" w:cs="Arial"/>
          <w:sz w:val="20"/>
          <w:szCs w:val="20"/>
        </w:rPr>
        <w:br/>
        <w:t>A. P. (DIR Series) Circular No. 19</w:t>
      </w:r>
    </w:p>
    <w:p w:rsidR="00DA1141" w:rsidRPr="005A38FC" w:rsidRDefault="00DA1141" w:rsidP="00DA1141">
      <w:pPr>
        <w:pStyle w:val="NormalWeb"/>
        <w:jc w:val="right"/>
        <w:rPr>
          <w:rFonts w:ascii="Arial" w:hAnsi="Arial" w:cs="Arial"/>
          <w:sz w:val="20"/>
          <w:szCs w:val="20"/>
        </w:rPr>
      </w:pPr>
      <w:r w:rsidRPr="005A38FC">
        <w:rPr>
          <w:rFonts w:ascii="Arial" w:hAnsi="Arial" w:cs="Arial"/>
          <w:sz w:val="20"/>
          <w:szCs w:val="20"/>
        </w:rPr>
        <w:t>December 12, 2022</w:t>
      </w:r>
    </w:p>
    <w:p w:rsidR="00DA1141" w:rsidRPr="005A38FC" w:rsidRDefault="00DA1141" w:rsidP="00DA1141">
      <w:pPr>
        <w:pStyle w:val="NormalWeb"/>
        <w:spacing w:before="0" w:beforeAutospacing="0" w:after="0" w:afterAutospacing="0"/>
        <w:rPr>
          <w:rFonts w:ascii="Arial" w:hAnsi="Arial" w:cs="Arial"/>
          <w:sz w:val="20"/>
          <w:szCs w:val="20"/>
        </w:rPr>
      </w:pPr>
      <w:r w:rsidRPr="005A38FC">
        <w:rPr>
          <w:rFonts w:ascii="Arial" w:hAnsi="Arial" w:cs="Arial"/>
          <w:sz w:val="20"/>
          <w:szCs w:val="20"/>
        </w:rPr>
        <w:t>All Authorised Dealer Category – I Banks</w:t>
      </w:r>
    </w:p>
    <w:p w:rsidR="00DA1141" w:rsidRPr="005A38FC" w:rsidRDefault="00DA1141" w:rsidP="00DA1141">
      <w:pPr>
        <w:pStyle w:val="NormalWeb"/>
        <w:spacing w:before="0" w:beforeAutospacing="0" w:after="0" w:afterAutospacing="0"/>
        <w:rPr>
          <w:rFonts w:ascii="Arial" w:hAnsi="Arial" w:cs="Arial"/>
          <w:sz w:val="20"/>
          <w:szCs w:val="20"/>
        </w:rPr>
      </w:pPr>
      <w:r w:rsidRPr="005A38FC">
        <w:rPr>
          <w:rFonts w:ascii="Arial" w:hAnsi="Arial" w:cs="Arial"/>
          <w:sz w:val="20"/>
          <w:szCs w:val="20"/>
        </w:rPr>
        <w:t>Madam / Sir,</w:t>
      </w:r>
    </w:p>
    <w:p w:rsidR="00DA1141" w:rsidRPr="005A38FC" w:rsidRDefault="00DA1141" w:rsidP="00DA1141">
      <w:pPr>
        <w:pStyle w:val="head"/>
        <w:jc w:val="center"/>
        <w:rPr>
          <w:rFonts w:ascii="Arial" w:hAnsi="Arial" w:cs="Arial"/>
          <w:b/>
          <w:bCs/>
          <w:sz w:val="20"/>
          <w:szCs w:val="20"/>
        </w:rPr>
      </w:pPr>
      <w:r w:rsidRPr="005A38FC">
        <w:rPr>
          <w:rFonts w:ascii="Arial" w:hAnsi="Arial" w:cs="Arial"/>
          <w:b/>
          <w:bCs/>
          <w:sz w:val="20"/>
          <w:szCs w:val="20"/>
        </w:rPr>
        <w:t>Hedging of Gold Price Risk in Overseas Markets</w:t>
      </w:r>
    </w:p>
    <w:p w:rsidR="00DA1141" w:rsidRPr="005A38FC" w:rsidRDefault="00DA1141" w:rsidP="00DA1141">
      <w:pPr>
        <w:pStyle w:val="NormalWeb"/>
        <w:rPr>
          <w:rFonts w:ascii="Arial" w:hAnsi="Arial" w:cs="Arial"/>
          <w:sz w:val="20"/>
          <w:szCs w:val="20"/>
        </w:rPr>
      </w:pPr>
      <w:r w:rsidRPr="005A38FC">
        <w:rPr>
          <w:rFonts w:ascii="Arial" w:hAnsi="Arial" w:cs="Arial"/>
          <w:sz w:val="20"/>
          <w:szCs w:val="20"/>
        </w:rPr>
        <w:t>Please refer to Paragraph 4 of the </w:t>
      </w:r>
      <w:hyperlink r:id="rId182" w:tgtFrame="_blank" w:history="1">
        <w:r w:rsidRPr="005A38FC">
          <w:rPr>
            <w:rStyle w:val="Hyperlink"/>
            <w:rFonts w:ascii="Arial" w:hAnsi="Arial" w:cs="Arial"/>
            <w:sz w:val="20"/>
            <w:szCs w:val="20"/>
          </w:rPr>
          <w:t>Statement on Developmental and Regulatory Policies</w:t>
        </w:r>
      </w:hyperlink>
      <w:r w:rsidRPr="005A38FC">
        <w:rPr>
          <w:rFonts w:ascii="Arial" w:hAnsi="Arial" w:cs="Arial"/>
          <w:sz w:val="20"/>
          <w:szCs w:val="20"/>
        </w:rPr>
        <w:t> announced as a part of the </w:t>
      </w:r>
      <w:hyperlink r:id="rId183" w:tgtFrame="_blank" w:history="1">
        <w:r w:rsidRPr="005A38FC">
          <w:rPr>
            <w:rStyle w:val="Hyperlink"/>
            <w:rFonts w:ascii="Arial" w:hAnsi="Arial" w:cs="Arial"/>
            <w:sz w:val="20"/>
            <w:szCs w:val="20"/>
          </w:rPr>
          <w:t>Bi-monthly Monetary Policy Statement for 2022-23 dated December 07, 2022</w:t>
        </w:r>
      </w:hyperlink>
      <w:r w:rsidRPr="005A38FC">
        <w:rPr>
          <w:rFonts w:ascii="Arial" w:hAnsi="Arial" w:cs="Arial"/>
          <w:sz w:val="20"/>
          <w:szCs w:val="20"/>
        </w:rPr>
        <w:t> regarding hedging of price risk of gold in overseas markets. Attention is also invited to the </w:t>
      </w:r>
      <w:hyperlink r:id="rId184" w:tgtFrame="_blank" w:history="1">
        <w:r w:rsidRPr="005A38FC">
          <w:rPr>
            <w:rStyle w:val="Hyperlink"/>
            <w:rFonts w:ascii="Arial" w:hAnsi="Arial" w:cs="Arial"/>
            <w:sz w:val="20"/>
            <w:szCs w:val="20"/>
          </w:rPr>
          <w:t>Hedging of Commodity Price Risk and Freight Risk in Overseas Markets (Reserve Bank) Directions, 2018 dated March 12, 2018</w:t>
        </w:r>
      </w:hyperlink>
      <w:r w:rsidRPr="005A38FC">
        <w:rPr>
          <w:rFonts w:ascii="Arial" w:hAnsi="Arial" w:cs="Arial"/>
          <w:sz w:val="20"/>
          <w:szCs w:val="20"/>
        </w:rPr>
        <w:t>, as amended from time to time.</w:t>
      </w:r>
    </w:p>
    <w:p w:rsidR="00DA1141" w:rsidRPr="005A38FC" w:rsidRDefault="00DA1141" w:rsidP="00DA1141">
      <w:pPr>
        <w:pStyle w:val="NormalWeb"/>
        <w:rPr>
          <w:rFonts w:ascii="Arial" w:hAnsi="Arial" w:cs="Arial"/>
          <w:sz w:val="20"/>
          <w:szCs w:val="20"/>
        </w:rPr>
      </w:pPr>
      <w:r w:rsidRPr="005A38FC">
        <w:rPr>
          <w:rFonts w:ascii="Arial" w:hAnsi="Arial" w:cs="Arial"/>
          <w:sz w:val="20"/>
          <w:szCs w:val="20"/>
        </w:rPr>
        <w:t>2. Resident entities in India are currently not permitted to hedge their exposure to price risk of gold in overseas markets. On a review, it has been decided to permit eligible entities to hedge their exposure to price risk of gold on exchanges in the International Financial Services Centre (IFSC) recognised by the International Financial Services Centres Authority (IFSCA).</w:t>
      </w:r>
    </w:p>
    <w:p w:rsidR="00DA1141" w:rsidRPr="005A38FC" w:rsidRDefault="00DA1141" w:rsidP="00DA1141">
      <w:pPr>
        <w:pStyle w:val="NormalWeb"/>
        <w:rPr>
          <w:rFonts w:ascii="Arial" w:hAnsi="Arial" w:cs="Arial"/>
          <w:sz w:val="20"/>
          <w:szCs w:val="20"/>
        </w:rPr>
      </w:pPr>
      <w:r w:rsidRPr="005A38FC">
        <w:rPr>
          <w:rFonts w:ascii="Arial" w:hAnsi="Arial" w:cs="Arial"/>
          <w:sz w:val="20"/>
          <w:szCs w:val="20"/>
        </w:rPr>
        <w:t>3. The Master Direction – Foreign Exchange Management (Hedging of Commodity Price Risk and Freight Risk in Overseas Markets) Directions, 2022 (</w:t>
      </w:r>
      <w:hyperlink r:id="rId185" w:tgtFrame="_blank" w:history="1">
        <w:r w:rsidRPr="005A38FC">
          <w:rPr>
            <w:rStyle w:val="Hyperlink"/>
            <w:rFonts w:ascii="Arial" w:hAnsi="Arial" w:cs="Arial"/>
            <w:sz w:val="20"/>
            <w:szCs w:val="20"/>
          </w:rPr>
          <w:t>A. P. (DIR Series) Circular No. 21 dated December 12, 2022</w:t>
        </w:r>
      </w:hyperlink>
      <w:r w:rsidRPr="005A38FC">
        <w:rPr>
          <w:rFonts w:ascii="Arial" w:hAnsi="Arial" w:cs="Arial"/>
          <w:sz w:val="20"/>
          <w:szCs w:val="20"/>
        </w:rPr>
        <w:t>) have been issued today and are enclosed herewith.</w:t>
      </w:r>
    </w:p>
    <w:p w:rsidR="00DA1141" w:rsidRPr="005A38FC" w:rsidRDefault="00DA1141" w:rsidP="00DA1141">
      <w:pPr>
        <w:pStyle w:val="NormalWeb"/>
        <w:rPr>
          <w:rFonts w:ascii="Arial" w:hAnsi="Arial" w:cs="Arial"/>
          <w:sz w:val="20"/>
          <w:szCs w:val="20"/>
        </w:rPr>
      </w:pPr>
      <w:r w:rsidRPr="005A38FC">
        <w:rPr>
          <w:rFonts w:ascii="Arial" w:hAnsi="Arial" w:cs="Arial"/>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DA1141" w:rsidRPr="005A38FC" w:rsidRDefault="00DA1141" w:rsidP="00DA1141">
      <w:pPr>
        <w:pStyle w:val="NormalWeb"/>
        <w:spacing w:before="0" w:beforeAutospacing="0" w:after="0" w:afterAutospacing="0"/>
        <w:rPr>
          <w:rFonts w:ascii="Arial" w:hAnsi="Arial" w:cs="Arial"/>
          <w:sz w:val="20"/>
          <w:szCs w:val="20"/>
        </w:rPr>
      </w:pPr>
      <w:r w:rsidRPr="005A38FC">
        <w:rPr>
          <w:rFonts w:ascii="Arial" w:hAnsi="Arial" w:cs="Arial"/>
          <w:sz w:val="20"/>
          <w:szCs w:val="20"/>
        </w:rPr>
        <w:t>Yours faithfully,</w:t>
      </w:r>
    </w:p>
    <w:p w:rsidR="00DA1141" w:rsidRPr="005A38FC" w:rsidRDefault="00DA1141" w:rsidP="00DA1141">
      <w:pPr>
        <w:pStyle w:val="NormalWeb"/>
        <w:spacing w:before="0" w:beforeAutospacing="0" w:after="0" w:afterAutospacing="0"/>
        <w:rPr>
          <w:rFonts w:ascii="Arial" w:hAnsi="Arial" w:cs="Arial"/>
          <w:sz w:val="20"/>
          <w:szCs w:val="20"/>
        </w:rPr>
      </w:pPr>
      <w:r w:rsidRPr="005A38FC">
        <w:rPr>
          <w:rFonts w:ascii="Arial" w:hAnsi="Arial" w:cs="Arial"/>
          <w:sz w:val="20"/>
          <w:szCs w:val="20"/>
        </w:rPr>
        <w:t xml:space="preserve">(Dimple </w:t>
      </w:r>
      <w:proofErr w:type="spellStart"/>
      <w:r w:rsidRPr="005A38FC">
        <w:rPr>
          <w:rFonts w:ascii="Arial" w:hAnsi="Arial" w:cs="Arial"/>
          <w:sz w:val="20"/>
          <w:szCs w:val="20"/>
        </w:rPr>
        <w:t>Bhandia</w:t>
      </w:r>
      <w:proofErr w:type="spellEnd"/>
      <w:r w:rsidRPr="005A38FC">
        <w:rPr>
          <w:rFonts w:ascii="Arial" w:hAnsi="Arial" w:cs="Arial"/>
          <w:sz w:val="20"/>
          <w:szCs w:val="20"/>
        </w:rPr>
        <w:t>)</w:t>
      </w:r>
      <w:r w:rsidRPr="005A38FC">
        <w:rPr>
          <w:rFonts w:ascii="Arial" w:hAnsi="Arial" w:cs="Arial"/>
          <w:sz w:val="20"/>
          <w:szCs w:val="20"/>
        </w:rPr>
        <w:br/>
        <w:t>Chief General Manager</w:t>
      </w: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Pr="00435B25" w:rsidRDefault="00DA1141" w:rsidP="00DA1141">
      <w:pPr>
        <w:spacing w:after="0"/>
        <w:rPr>
          <w:rFonts w:ascii="Arial" w:hAnsi="Arial" w:cs="Arial"/>
          <w:sz w:val="20"/>
          <w:szCs w:val="20"/>
        </w:rPr>
      </w:pPr>
      <w:r w:rsidRPr="00435B25">
        <w:rPr>
          <w:rFonts w:ascii="Arial" w:hAnsi="Arial" w:cs="Arial"/>
          <w:sz w:val="20"/>
          <w:szCs w:val="20"/>
        </w:rPr>
        <w:t>More details can be referred to in the below link.</w:t>
      </w:r>
    </w:p>
    <w:p w:rsidR="00DA1141" w:rsidRDefault="00DA1141" w:rsidP="00DA1141">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86" w:anchor=":~:text=Hedging%20of%20Gold%20Price%20Risk%20in%20Overseas%20Markets&amp;text=Resident%20entities%20in%20India%20are,of%20gold%20in%20overseas%20markets" w:history="1">
        <w:r w:rsidRPr="00200311">
          <w:rPr>
            <w:rStyle w:val="Hyperlink"/>
            <w:rFonts w:ascii="Arial" w:hAnsi="Arial" w:cs="Arial"/>
            <w:sz w:val="20"/>
            <w:szCs w:val="20"/>
          </w:rPr>
          <w:t>https://m.rbi.org.in/scripts/FS_Notification.aspx?Id=12423&amp;fn=6&amp;Mode=0#:~:text=Hedging%20of%20Gold%20Price%20Risk%20in%20Overseas%20Markets&amp;text=Resident%20entities%20in%20India%20are,of%20gold%20in%20overseas%20markets</w:t>
        </w:r>
      </w:hyperlink>
      <w:r w:rsidRPr="005A38FC">
        <w:rPr>
          <w:rFonts w:ascii="Arial" w:hAnsi="Arial" w:cs="Arial"/>
          <w:sz w:val="20"/>
          <w:szCs w:val="20"/>
        </w:rPr>
        <w:t>.</w:t>
      </w: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 and Freight Risk in Overseas Markets) Directions, 2022</w:t>
      </w:r>
    </w:p>
    <w:p w:rsidR="00DA1141" w:rsidRDefault="00DA1141" w:rsidP="00DA1141">
      <w:pPr>
        <w:spacing w:after="0"/>
        <w:rPr>
          <w:rFonts w:ascii="Arial" w:hAnsi="Arial" w:cs="Arial"/>
          <w:b/>
          <w:bCs/>
          <w:color w:val="000000"/>
          <w:sz w:val="20"/>
          <w:szCs w:val="20"/>
        </w:rPr>
      </w:pP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RBI/2022-2023/94</w:t>
      </w:r>
      <w:r>
        <w:rPr>
          <w:rFonts w:ascii="Arial" w:hAnsi="Arial" w:cs="Arial"/>
          <w:color w:val="000000"/>
          <w:sz w:val="20"/>
          <w:szCs w:val="20"/>
        </w:rPr>
        <w:br/>
        <w:t>A. P. (DIR Series) Circular No. 20</w:t>
      </w:r>
    </w:p>
    <w:p w:rsidR="00DA1141" w:rsidRDefault="00DA1141" w:rsidP="00DA1141">
      <w:pPr>
        <w:pStyle w:val="NormalWeb"/>
        <w:jc w:val="right"/>
        <w:rPr>
          <w:rFonts w:ascii="Arial" w:hAnsi="Arial" w:cs="Arial"/>
          <w:color w:val="000000"/>
          <w:sz w:val="20"/>
          <w:szCs w:val="20"/>
        </w:rPr>
      </w:pPr>
      <w:r>
        <w:rPr>
          <w:rFonts w:ascii="Arial" w:hAnsi="Arial" w:cs="Arial"/>
          <w:color w:val="000000"/>
          <w:sz w:val="20"/>
          <w:szCs w:val="20"/>
        </w:rPr>
        <w:t>December 12, 2022</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Madam / Sir,</w:t>
      </w:r>
    </w:p>
    <w:p w:rsidR="00DA1141" w:rsidRDefault="00DA1141" w:rsidP="00DA1141">
      <w:pPr>
        <w:pStyle w:val="head"/>
        <w:jc w:val="center"/>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w:t>
      </w:r>
      <w:r>
        <w:rPr>
          <w:rFonts w:ascii="Arial" w:hAnsi="Arial" w:cs="Arial"/>
          <w:b/>
          <w:bCs/>
          <w:color w:val="000000"/>
          <w:sz w:val="20"/>
          <w:szCs w:val="20"/>
        </w:rPr>
        <w:br/>
        <w:t>and Freight Risk in Overseas Markets) Directions, 2022</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Cat-I) banks is invited to Regulation 6 and 6A of the Foreign Exchange Management (Foreign Exchange Derivative Contracts) Regulations, 2000 dated May 3, 2000 (</w:t>
      </w:r>
      <w:hyperlink r:id="rId187" w:tgtFrame="_blank" w:history="1">
        <w:r>
          <w:rPr>
            <w:rStyle w:val="Hyperlink"/>
            <w:rFonts w:ascii="Arial" w:hAnsi="Arial" w:cs="Arial"/>
            <w:sz w:val="20"/>
            <w:szCs w:val="20"/>
          </w:rPr>
          <w:t>Notification No. FEMA. 25/RB-2000 dated May 3, 2000</w:t>
        </w:r>
      </w:hyperlink>
      <w:r>
        <w:rPr>
          <w:rFonts w:ascii="Arial" w:hAnsi="Arial" w:cs="Arial"/>
          <w:color w:val="000000"/>
          <w:sz w:val="20"/>
          <w:szCs w:val="20"/>
        </w:rPr>
        <w:t>), as amended from time to time, issued under clause (h) of sub-section (2) of Section 47 of Foreign Exchange Management Act, 1999 (Act 42 of 1999) as amended from time to time.</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2. Within the contours of the Regulations, the Reserve Bank issues directions to Authorised Persons under Section 11 of the Foreign Exchange Management Act, 1999 (Act 42 of 1999). These Directions lay down the modalities for the AD Cat-I banks for facilitating hedging of commodity price risk and freight risk in overseas markets by their customers / constituents.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3. The Master Direction – Foreign Exchange Management (Hedging of Commodity Price Risk and Freight Risk in Overseas Markets) Directions, 2022 are </w:t>
      </w:r>
      <w:hyperlink r:id="rId188" w:anchor="enclosed" w:history="1">
        <w:r>
          <w:rPr>
            <w:rStyle w:val="Hyperlink"/>
            <w:rFonts w:ascii="Arial" w:hAnsi="Arial" w:cs="Arial"/>
            <w:sz w:val="20"/>
            <w:szCs w:val="20"/>
          </w:rPr>
          <w:t>enclosed</w:t>
        </w:r>
      </w:hyperlink>
      <w:r>
        <w:rPr>
          <w:rFonts w:ascii="Arial" w:hAnsi="Arial" w:cs="Arial"/>
          <w:color w:val="000000"/>
          <w:sz w:val="20"/>
          <w:szCs w:val="20"/>
        </w:rPr>
        <w:t> herewith. AD Cat-I banks may bring the contents of these Directions to the notice of their customers / constituents concerned.</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DA1141" w:rsidRDefault="00DA1141" w:rsidP="00DA1141">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Pr="00435B25" w:rsidRDefault="00DA1141" w:rsidP="00DA1141">
      <w:pPr>
        <w:spacing w:after="0"/>
        <w:rPr>
          <w:rFonts w:ascii="Arial" w:hAnsi="Arial" w:cs="Arial"/>
          <w:sz w:val="20"/>
          <w:szCs w:val="20"/>
        </w:rPr>
      </w:pPr>
      <w:r w:rsidRPr="00435B25">
        <w:rPr>
          <w:rFonts w:ascii="Arial" w:hAnsi="Arial" w:cs="Arial"/>
          <w:sz w:val="20"/>
          <w:szCs w:val="20"/>
        </w:rPr>
        <w:t>More details can be referred to in the below link.</w:t>
      </w:r>
    </w:p>
    <w:p w:rsidR="00DA1141" w:rsidRDefault="00DA1141" w:rsidP="00DA1141">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89" w:history="1">
        <w:r w:rsidRPr="00200311">
          <w:rPr>
            <w:rStyle w:val="Hyperlink"/>
            <w:rFonts w:ascii="Arial" w:hAnsi="Arial" w:cs="Arial"/>
            <w:sz w:val="20"/>
            <w:szCs w:val="20"/>
          </w:rPr>
          <w:t>https://www.rbi.org.in/Scripts/BS_ViewMasDirections.aspx?id=12427</w:t>
        </w:r>
      </w:hyperlink>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DA1141" w:rsidRDefault="00DA1141" w:rsidP="00DA1141">
      <w:pPr>
        <w:spacing w:after="0"/>
        <w:rPr>
          <w:rFonts w:ascii="Arial" w:hAnsi="Arial" w:cs="Arial"/>
          <w:b/>
          <w:bCs/>
          <w:color w:val="000000"/>
          <w:sz w:val="20"/>
          <w:szCs w:val="20"/>
        </w:rPr>
      </w:pP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DA1141" w:rsidRDefault="00DA1141" w:rsidP="00DA1141">
      <w:pPr>
        <w:pStyle w:val="NormalWeb"/>
        <w:jc w:val="right"/>
        <w:rPr>
          <w:rFonts w:ascii="Arial" w:hAnsi="Arial" w:cs="Arial"/>
          <w:color w:val="000000"/>
          <w:sz w:val="20"/>
          <w:szCs w:val="20"/>
        </w:rPr>
      </w:pPr>
      <w:r>
        <w:rPr>
          <w:rFonts w:ascii="Arial" w:hAnsi="Arial" w:cs="Arial"/>
          <w:color w:val="000000"/>
          <w:sz w:val="20"/>
          <w:szCs w:val="20"/>
        </w:rPr>
        <w:t>December 13, 2022</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Madam/Dear Sir,</w:t>
      </w:r>
    </w:p>
    <w:p w:rsidR="00DA1141" w:rsidRDefault="00DA1141" w:rsidP="00DA1141">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90"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Yours faithfully</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r w:rsidRPr="00435B25">
        <w:rPr>
          <w:rFonts w:ascii="Arial" w:hAnsi="Arial" w:cs="Arial"/>
          <w:sz w:val="20"/>
          <w:szCs w:val="20"/>
        </w:rPr>
        <w:t>More details can be referred to in the below link.</w:t>
      </w:r>
    </w:p>
    <w:p w:rsidR="00DA1141" w:rsidRDefault="00DA1141" w:rsidP="00DA1141">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191" w:history="1">
        <w:r w:rsidRPr="006865D6">
          <w:rPr>
            <w:rStyle w:val="Hyperlink"/>
            <w:rFonts w:ascii="Arial" w:hAnsi="Arial" w:cs="Arial"/>
            <w:sz w:val="20"/>
            <w:szCs w:val="20"/>
          </w:rPr>
          <w:t>https://m.rbi.org.in/scripts/BS_CircularIndexDisplay.aspx?Id=12425</w:t>
        </w:r>
      </w:hyperlink>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Pr="00706A14"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RBI/2022-23/155</w:t>
      </w:r>
      <w:r>
        <w:rPr>
          <w:rFonts w:ascii="Arial" w:hAnsi="Arial" w:cs="Arial"/>
          <w:color w:val="000000"/>
          <w:sz w:val="20"/>
          <w:szCs w:val="20"/>
        </w:rPr>
        <w:br/>
        <w:t>DOR.ACC.REC.No.91/21.04.018/2022-23</w:t>
      </w:r>
    </w:p>
    <w:p w:rsidR="00DA1141" w:rsidRDefault="00DA1141" w:rsidP="00DA1141">
      <w:pPr>
        <w:pStyle w:val="NormalWeb"/>
        <w:jc w:val="right"/>
        <w:rPr>
          <w:rFonts w:ascii="Arial" w:hAnsi="Arial" w:cs="Arial"/>
          <w:color w:val="000000"/>
          <w:sz w:val="20"/>
          <w:szCs w:val="20"/>
        </w:rPr>
      </w:pPr>
      <w:r>
        <w:rPr>
          <w:rFonts w:ascii="Arial" w:hAnsi="Arial" w:cs="Arial"/>
          <w:color w:val="000000"/>
          <w:sz w:val="20"/>
          <w:szCs w:val="20"/>
        </w:rPr>
        <w:t>December 13, 2022</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Madam/Sir,</w:t>
      </w:r>
    </w:p>
    <w:p w:rsidR="00DA1141" w:rsidRDefault="00DA1141" w:rsidP="00DA1141">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Please refer to the notes and instructions for compilation of Balance Sheet and Profit and Loss Account, for commercial banks, as specified in Annexure II to the </w:t>
      </w:r>
      <w:hyperlink r:id="rId192"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(hereinafter referred to as “Directions”).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2. In terms of Part A of Annexure II to the Directions, in case any item under the subhead “Miscellaneous Income” under the head “Schedule 14-Other Income” exceeds one per cent of total income, particulars shall be given in the notes to accounts. Similar instructions exist in case of subhead “Other expenditure” under the head “Schedule 16-Operating Expenses”.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3. In order to ensure greater transparency, it has been decided that banks shall also disclose the particulars of all such items in the notes to accounts wherever any item under the Schedule 5(IV)-Other Liabilities and Provisions</w:t>
      </w:r>
      <w:proofErr w:type="gramStart"/>
      <w:r>
        <w:rPr>
          <w:rFonts w:ascii="Arial" w:hAnsi="Arial" w:cs="Arial"/>
          <w:color w:val="000000"/>
          <w:sz w:val="20"/>
          <w:szCs w:val="20"/>
        </w:rPr>
        <w:t>-“</w:t>
      </w:r>
      <w:proofErr w:type="gramEnd"/>
      <w:r>
        <w:rPr>
          <w:rFonts w:ascii="Arial" w:hAnsi="Arial" w:cs="Arial"/>
          <w:color w:val="000000"/>
          <w:sz w:val="20"/>
          <w:szCs w:val="20"/>
        </w:rPr>
        <w:t>Others (including provisions)” or Schedule 11(VI)-Other Assets-“Others” exceeds one per cent of the total assets.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4. Further, Payments Banks shall also disclose particulars of all such items in the notes to accounts, wherever any item under the Schedule 14(I)-Other Income</w:t>
      </w:r>
      <w:proofErr w:type="gramStart"/>
      <w:r>
        <w:rPr>
          <w:rFonts w:ascii="Arial" w:hAnsi="Arial" w:cs="Arial"/>
          <w:color w:val="000000"/>
          <w:sz w:val="20"/>
          <w:szCs w:val="20"/>
        </w:rPr>
        <w:t>-“</w:t>
      </w:r>
      <w:proofErr w:type="gramEnd"/>
      <w:r>
        <w:rPr>
          <w:rFonts w:ascii="Arial" w:hAnsi="Arial" w:cs="Arial"/>
          <w:color w:val="000000"/>
          <w:sz w:val="20"/>
          <w:szCs w:val="20"/>
        </w:rPr>
        <w:t>Commission, Exchange and Brokerage” exceeds one per cent of the total income.</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5. We also invite attention to Clause 6 of the Chapter IV of the Directions ibid, in terms of which more comprehensive disclosures than the minimum required are encouraged, especially if such disclosures significantly aid in the understanding of the financial position and performance of banks.</w:t>
      </w:r>
    </w:p>
    <w:p w:rsidR="00DA1141" w:rsidRDefault="00DA1141" w:rsidP="00DA1141">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6. These instructions are applicable to all commercial banks. These instructions shall come into effect for disclosures in the notes to the annual financial statements for the year ending March 31, 2023 and onwards.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7. The </w:t>
      </w:r>
      <w:hyperlink r:id="rId193"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shall stand updated to reflect these changes.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Yours faithfully,</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DA1141" w:rsidRPr="00230EAC" w:rsidRDefault="00DA1141" w:rsidP="00DA1141">
      <w:pPr>
        <w:spacing w:after="0"/>
      </w:pPr>
    </w:p>
    <w:p w:rsidR="00DA1141" w:rsidRDefault="00DA1141" w:rsidP="00DA1141">
      <w:r>
        <w:lastRenderedPageBreak/>
        <w:t>More details can be referred to in the below link.</w:t>
      </w:r>
    </w:p>
    <w:p w:rsidR="00DA1141" w:rsidRDefault="00DA1141" w:rsidP="00DA1141">
      <w:pPr>
        <w:rPr>
          <w:rFonts w:ascii="Arial" w:hAnsi="Arial" w:cs="Arial"/>
          <w:bCs/>
          <w:color w:val="000000"/>
          <w:sz w:val="20"/>
          <w:szCs w:val="20"/>
        </w:rPr>
      </w:pPr>
      <w:r>
        <w:rPr>
          <w:rFonts w:ascii="Arial" w:hAnsi="Arial" w:cs="Arial"/>
          <w:bCs/>
          <w:color w:val="000000"/>
          <w:sz w:val="20"/>
          <w:szCs w:val="20"/>
        </w:rPr>
        <w:t xml:space="preserve">Reference Link: </w:t>
      </w:r>
      <w:hyperlink r:id="rId194" w:history="1">
        <w:r w:rsidRPr="00B27270">
          <w:rPr>
            <w:rStyle w:val="Hyperlink"/>
            <w:rFonts w:ascii="Arial" w:hAnsi="Arial" w:cs="Arial"/>
            <w:bCs/>
            <w:sz w:val="20"/>
            <w:szCs w:val="20"/>
          </w:rPr>
          <w:t>https://rbi.org.in/Scripts/NotificationUser.aspx?Id=12426&amp;Mode=0</w:t>
        </w:r>
      </w:hyperlink>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DA1141" w:rsidRDefault="00DA1141" w:rsidP="00DA1141">
      <w:pPr>
        <w:pStyle w:val="NormalWeb"/>
        <w:jc w:val="right"/>
        <w:rPr>
          <w:rFonts w:ascii="Arial" w:hAnsi="Arial" w:cs="Arial"/>
          <w:color w:val="000000"/>
          <w:sz w:val="20"/>
          <w:szCs w:val="20"/>
        </w:rPr>
      </w:pPr>
      <w:r>
        <w:rPr>
          <w:rFonts w:ascii="Arial" w:hAnsi="Arial" w:cs="Arial"/>
          <w:color w:val="000000"/>
          <w:sz w:val="20"/>
          <w:szCs w:val="20"/>
        </w:rPr>
        <w:t>December 26, 2022</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Madam / Dear Sir,</w:t>
      </w:r>
    </w:p>
    <w:p w:rsidR="00DA1141" w:rsidRDefault="00DA1141" w:rsidP="00DA1141">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95"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196"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197" w:anchor="AN1" w:history="1">
        <w:r>
          <w:rPr>
            <w:rStyle w:val="Hyperlink"/>
            <w:rFonts w:ascii="Arial" w:hAnsi="Arial" w:cs="Arial"/>
            <w:sz w:val="20"/>
            <w:szCs w:val="20"/>
          </w:rPr>
          <w:t>Annex</w:t>
        </w:r>
      </w:hyperlink>
      <w:r>
        <w:rPr>
          <w:rFonts w:ascii="Arial" w:hAnsi="Arial" w:cs="Arial"/>
          <w:color w:val="000000"/>
          <w:sz w:val="20"/>
          <w:szCs w:val="20"/>
        </w:rPr>
        <w:t>.</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Yours faithfully,</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DA1141" w:rsidRDefault="00DA1141" w:rsidP="00DA1141">
      <w:pPr>
        <w:rPr>
          <w:rFonts w:ascii="Arial" w:hAnsi="Arial" w:cs="Arial"/>
          <w:sz w:val="20"/>
          <w:szCs w:val="20"/>
        </w:rPr>
      </w:pPr>
    </w:p>
    <w:p w:rsidR="00DA1141" w:rsidRDefault="00DA1141" w:rsidP="00DA1141">
      <w:pPr>
        <w:rPr>
          <w:rFonts w:ascii="Arial" w:hAnsi="Arial" w:cs="Arial"/>
          <w:sz w:val="20"/>
          <w:szCs w:val="20"/>
        </w:rPr>
      </w:pPr>
    </w:p>
    <w:p w:rsidR="00DA1141" w:rsidRDefault="00DA1141" w:rsidP="00DA1141">
      <w:r>
        <w:t>More details can be referred to in the below link.</w:t>
      </w:r>
    </w:p>
    <w:p w:rsidR="00DA1141" w:rsidRDefault="00DA1141" w:rsidP="00DA1141">
      <w:pPr>
        <w:rPr>
          <w:rFonts w:ascii="Arial" w:hAnsi="Arial" w:cs="Arial"/>
          <w:bCs/>
          <w:color w:val="000000"/>
          <w:sz w:val="20"/>
          <w:szCs w:val="20"/>
        </w:rPr>
      </w:pPr>
      <w:r>
        <w:rPr>
          <w:rFonts w:ascii="Arial" w:hAnsi="Arial" w:cs="Arial"/>
          <w:bCs/>
          <w:color w:val="000000"/>
          <w:sz w:val="20"/>
          <w:szCs w:val="20"/>
        </w:rPr>
        <w:t xml:space="preserve">Reference Link: </w:t>
      </w:r>
      <w:hyperlink r:id="rId198" w:history="1">
        <w:r w:rsidRPr="00B27270">
          <w:rPr>
            <w:rStyle w:val="Hyperlink"/>
            <w:rFonts w:ascii="Arial" w:hAnsi="Arial" w:cs="Arial"/>
            <w:bCs/>
            <w:sz w:val="20"/>
            <w:szCs w:val="20"/>
          </w:rPr>
          <w:t>https://m.rbi.org.in/scripts/FS_Notification.aspx?Id=12431&amp;fn=9&amp;Mode=0</w:t>
        </w:r>
      </w:hyperlink>
    </w:p>
    <w:p w:rsidR="00DA1141" w:rsidRDefault="00DA1141" w:rsidP="00DA1141">
      <w:pPr>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DA1141">
      <w:pPr>
        <w:spacing w:after="0"/>
        <w:rPr>
          <w:rFonts w:ascii="Arial" w:hAnsi="Arial" w:cs="Arial"/>
          <w:sz w:val="20"/>
          <w:szCs w:val="20"/>
        </w:rPr>
      </w:pPr>
    </w:p>
    <w:p w:rsidR="00DA1141" w:rsidRDefault="00DA1141" w:rsidP="00C96881">
      <w:pPr>
        <w:rPr>
          <w:rFonts w:ascii="Arial" w:hAnsi="Arial" w:cs="Arial"/>
          <w:sz w:val="20"/>
          <w:szCs w:val="20"/>
        </w:rPr>
      </w:pPr>
    </w:p>
    <w:p w:rsidR="00DA1141" w:rsidRDefault="00DA1141" w:rsidP="00DA1141">
      <w:pPr>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RBI/2022-23/159</w:t>
      </w:r>
      <w:r>
        <w:rPr>
          <w:rFonts w:ascii="Arial" w:hAnsi="Arial" w:cs="Arial"/>
          <w:color w:val="000000"/>
          <w:sz w:val="20"/>
          <w:szCs w:val="20"/>
        </w:rPr>
        <w:br/>
        <w:t>DOR.CRE.REC.92/07.10.002/2022-23</w:t>
      </w:r>
    </w:p>
    <w:p w:rsidR="00DA1141" w:rsidRDefault="00DA1141" w:rsidP="00DA1141">
      <w:pPr>
        <w:pStyle w:val="NormalWeb"/>
        <w:jc w:val="right"/>
        <w:rPr>
          <w:rFonts w:ascii="Arial" w:hAnsi="Arial" w:cs="Arial"/>
          <w:color w:val="000000"/>
          <w:sz w:val="20"/>
          <w:szCs w:val="20"/>
        </w:rPr>
      </w:pPr>
      <w:r>
        <w:rPr>
          <w:rFonts w:ascii="Arial" w:hAnsi="Arial" w:cs="Arial"/>
          <w:color w:val="000000"/>
          <w:sz w:val="20"/>
          <w:szCs w:val="20"/>
        </w:rPr>
        <w:t>December 30, 2022</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Madam / Dear Sir,</w:t>
      </w:r>
    </w:p>
    <w:p w:rsidR="00DA1141" w:rsidRDefault="00DA1141" w:rsidP="00DA1141">
      <w:pPr>
        <w:pStyle w:val="head"/>
        <w:jc w:val="both"/>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Please refer to </w:t>
      </w:r>
      <w:hyperlink r:id="rId199" w:tgtFrame="_blank" w:history="1">
        <w:r>
          <w:rPr>
            <w:rStyle w:val="Hyperlink"/>
            <w:rFonts w:ascii="Arial" w:hAnsi="Arial" w:cs="Arial"/>
            <w:sz w:val="20"/>
            <w:szCs w:val="20"/>
          </w:rPr>
          <w:t>circular DOR.REG.No.84/07.01.000/2022-23 dated December 1, 2022</w:t>
        </w:r>
      </w:hyperlink>
      <w:r>
        <w:rPr>
          <w:rFonts w:ascii="Arial" w:hAnsi="Arial" w:cs="Arial"/>
          <w:color w:val="000000"/>
          <w:sz w:val="20"/>
          <w:szCs w:val="20"/>
        </w:rPr>
        <w:t>, in terms of which UCBs have been categorised into four tiers for regulatory purposes.</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2. In terms of the </w:t>
      </w:r>
      <w:hyperlink r:id="rId200" w:tgtFrame="_blank" w:history="1">
        <w:r>
          <w:rPr>
            <w:rStyle w:val="Hyperlink"/>
            <w:rFonts w:ascii="Arial" w:hAnsi="Arial" w:cs="Arial"/>
            <w:sz w:val="20"/>
            <w:szCs w:val="20"/>
          </w:rPr>
          <w:t>circular DOR.CRE.REC.42/09.22.010/2022-23 dated June 8, 2022</w:t>
        </w:r>
      </w:hyperlink>
      <w:r>
        <w:rPr>
          <w:rFonts w:ascii="Arial" w:hAnsi="Arial" w:cs="Arial"/>
          <w:color w:val="000000"/>
          <w:sz w:val="20"/>
          <w:szCs w:val="20"/>
        </w:rPr>
        <w:t xml:space="preserve">, ceilings on housing loans to individuals are prescribed as ₹60 lakh for Tier-I UCBs and ₹140 lakh for Tier-II UCBs. Consequent upon classification of UCBs into four tiers under the revised regulatory framework, it has been decided to specify the limits on housing loans sanctioned by UCBs to an individual borrower as ₹60 </w:t>
      </w:r>
      <w:proofErr w:type="gramStart"/>
      <w:r>
        <w:rPr>
          <w:rFonts w:ascii="Arial" w:hAnsi="Arial" w:cs="Arial"/>
          <w:color w:val="000000"/>
          <w:sz w:val="20"/>
          <w:szCs w:val="20"/>
        </w:rPr>
        <w:t>lakh</w:t>
      </w:r>
      <w:proofErr w:type="gramEnd"/>
      <w:r>
        <w:rPr>
          <w:rFonts w:ascii="Arial" w:hAnsi="Arial" w:cs="Arial"/>
          <w:color w:val="000000"/>
          <w:sz w:val="20"/>
          <w:szCs w:val="20"/>
        </w:rPr>
        <w:t xml:space="preserve"> for Tier-1 UCBs and ₹140 lakh for UCBs categorised in Tier-2 to 4. Other terms and conditions of the circular ibid, remain unchanged.</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3. The limits prescribed under this circular are effective from the date of this circular. However, existing housing loans sanctioned prior to the date of this circular, which may be in breach of the ceiling, will be allowed to run off till maturity.</w:t>
      </w:r>
    </w:p>
    <w:p w:rsidR="00DA1141" w:rsidRDefault="00DA1141" w:rsidP="00DA1141">
      <w:pPr>
        <w:pStyle w:val="NormalWeb"/>
        <w:jc w:val="both"/>
        <w:rPr>
          <w:rFonts w:ascii="Arial" w:hAnsi="Arial" w:cs="Arial"/>
          <w:color w:val="000000"/>
          <w:sz w:val="20"/>
          <w:szCs w:val="20"/>
        </w:rPr>
      </w:pPr>
      <w:r>
        <w:rPr>
          <w:rFonts w:ascii="Arial" w:hAnsi="Arial" w:cs="Arial"/>
          <w:color w:val="000000"/>
          <w:sz w:val="20"/>
          <w:szCs w:val="20"/>
        </w:rPr>
        <w:t>Yours faithfully,</w:t>
      </w:r>
    </w:p>
    <w:p w:rsidR="00DA1141" w:rsidRDefault="00DA1141" w:rsidP="00DA114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DA1141" w:rsidRDefault="00DA1141" w:rsidP="00DA1141">
      <w:pPr>
        <w:rPr>
          <w:rFonts w:ascii="Arial" w:hAnsi="Arial" w:cs="Arial"/>
          <w:sz w:val="20"/>
          <w:szCs w:val="20"/>
        </w:rPr>
      </w:pPr>
    </w:p>
    <w:p w:rsidR="00DA1141" w:rsidRDefault="00DA1141" w:rsidP="00DA1141">
      <w:pPr>
        <w:rPr>
          <w:rFonts w:ascii="Arial" w:hAnsi="Arial" w:cs="Arial"/>
          <w:sz w:val="20"/>
          <w:szCs w:val="20"/>
        </w:rPr>
      </w:pPr>
    </w:p>
    <w:p w:rsidR="00DA1141" w:rsidRDefault="00DA1141" w:rsidP="00DA1141">
      <w:pPr>
        <w:spacing w:after="0"/>
        <w:rPr>
          <w:rFonts w:ascii="Arial" w:hAnsi="Arial" w:cs="Arial"/>
          <w:sz w:val="20"/>
          <w:szCs w:val="20"/>
        </w:rPr>
      </w:pPr>
      <w:r w:rsidRPr="00435B25">
        <w:rPr>
          <w:rFonts w:ascii="Arial" w:hAnsi="Arial" w:cs="Arial"/>
          <w:sz w:val="20"/>
          <w:szCs w:val="20"/>
        </w:rPr>
        <w:t>More details can be referred to in the below link.</w:t>
      </w:r>
    </w:p>
    <w:p w:rsidR="00DA1141" w:rsidRDefault="00DA1141" w:rsidP="00DA1141">
      <w:pPr>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201" w:anchor=":~:text=010%2F2022%2D23%20dated%20June,lakh%20for%20Tier%2DII%20UCBs" w:history="1">
        <w:r w:rsidRPr="00735218">
          <w:rPr>
            <w:rStyle w:val="Hyperlink"/>
            <w:rFonts w:ascii="Arial" w:hAnsi="Arial" w:cs="Arial"/>
            <w:sz w:val="20"/>
            <w:szCs w:val="20"/>
          </w:rPr>
          <w:t>https://www.rbi.org.in/Scripts/BS_CircularIndexDisplay.aspx?Id=12432#:~:text=010%2F2022%2D23%20dated%20June,lakh%20for%20Tier%2DII%20UCBs</w:t>
        </w:r>
      </w:hyperlink>
      <w:r w:rsidRPr="00587F28">
        <w:rPr>
          <w:rFonts w:ascii="Arial" w:hAnsi="Arial" w:cs="Arial"/>
          <w:sz w:val="20"/>
          <w:szCs w:val="20"/>
        </w:rPr>
        <w:t>.</w:t>
      </w:r>
    </w:p>
    <w:p w:rsidR="00DA1141" w:rsidRDefault="00DA1141" w:rsidP="00DA1141">
      <w:pPr>
        <w:rPr>
          <w:rFonts w:ascii="Arial" w:hAnsi="Arial" w:cs="Arial"/>
          <w:sz w:val="20"/>
          <w:szCs w:val="20"/>
        </w:rPr>
      </w:pPr>
    </w:p>
    <w:p w:rsidR="00DA1141" w:rsidRDefault="00DA1141" w:rsidP="00C96881">
      <w:pPr>
        <w:rPr>
          <w:rFonts w:ascii="Arial" w:hAnsi="Arial" w:cs="Arial"/>
          <w:bCs/>
          <w:color w:val="000000"/>
          <w:sz w:val="20"/>
          <w:szCs w:val="20"/>
        </w:rPr>
      </w:pPr>
    </w:p>
    <w:sectPr w:rsidR="00DA1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602B0"/>
    <w:multiLevelType w:val="multilevel"/>
    <w:tmpl w:val="A0CE7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3"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0"/>
  </w:num>
  <w:num w:numId="3">
    <w:abstractNumId w:val="15"/>
  </w:num>
  <w:num w:numId="4">
    <w:abstractNumId w:val="12"/>
  </w:num>
  <w:num w:numId="5">
    <w:abstractNumId w:val="9"/>
  </w:num>
  <w:num w:numId="6">
    <w:abstractNumId w:val="2"/>
  </w:num>
  <w:num w:numId="7">
    <w:abstractNumId w:val="1"/>
  </w:num>
  <w:num w:numId="8">
    <w:abstractNumId w:val="11"/>
  </w:num>
  <w:num w:numId="9">
    <w:abstractNumId w:val="13"/>
  </w:num>
  <w:num w:numId="10">
    <w:abstractNumId w:val="8"/>
  </w:num>
  <w:num w:numId="11">
    <w:abstractNumId w:val="5"/>
  </w:num>
  <w:num w:numId="12">
    <w:abstractNumId w:val="6"/>
  </w:num>
  <w:num w:numId="13">
    <w:abstractNumId w:val="7"/>
  </w:num>
  <w:num w:numId="14">
    <w:abstractNumId w:val="16"/>
  </w:num>
  <w:num w:numId="15">
    <w:abstractNumId w:val="0"/>
  </w:num>
  <w:num w:numId="16">
    <w:abstractNumId w:val="1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02"/>
    <w:rsid w:val="0001090D"/>
    <w:rsid w:val="000575E0"/>
    <w:rsid w:val="00091F3D"/>
    <w:rsid w:val="00092B6C"/>
    <w:rsid w:val="000B7E87"/>
    <w:rsid w:val="000D13CB"/>
    <w:rsid w:val="000E2E54"/>
    <w:rsid w:val="00131C73"/>
    <w:rsid w:val="001942B3"/>
    <w:rsid w:val="001E1B5B"/>
    <w:rsid w:val="002378C0"/>
    <w:rsid w:val="00274FAB"/>
    <w:rsid w:val="002E3BA0"/>
    <w:rsid w:val="00311876"/>
    <w:rsid w:val="004107B0"/>
    <w:rsid w:val="00421545"/>
    <w:rsid w:val="00430013"/>
    <w:rsid w:val="00443878"/>
    <w:rsid w:val="00454EA3"/>
    <w:rsid w:val="00470480"/>
    <w:rsid w:val="004C0D2D"/>
    <w:rsid w:val="005004E7"/>
    <w:rsid w:val="005065B6"/>
    <w:rsid w:val="00517EA2"/>
    <w:rsid w:val="0052353B"/>
    <w:rsid w:val="00531DEE"/>
    <w:rsid w:val="00536CF8"/>
    <w:rsid w:val="005678E7"/>
    <w:rsid w:val="0057089E"/>
    <w:rsid w:val="00594523"/>
    <w:rsid w:val="00595AE9"/>
    <w:rsid w:val="00595F75"/>
    <w:rsid w:val="005B17C1"/>
    <w:rsid w:val="005B3A67"/>
    <w:rsid w:val="005F6218"/>
    <w:rsid w:val="006458AB"/>
    <w:rsid w:val="00652C47"/>
    <w:rsid w:val="006817D7"/>
    <w:rsid w:val="00704265"/>
    <w:rsid w:val="007337B5"/>
    <w:rsid w:val="0073686B"/>
    <w:rsid w:val="00751B52"/>
    <w:rsid w:val="00783FC1"/>
    <w:rsid w:val="007D6A09"/>
    <w:rsid w:val="007F311D"/>
    <w:rsid w:val="00823298"/>
    <w:rsid w:val="00827FA7"/>
    <w:rsid w:val="008464C9"/>
    <w:rsid w:val="00866E4E"/>
    <w:rsid w:val="008A1BA1"/>
    <w:rsid w:val="008C7A02"/>
    <w:rsid w:val="00957BFA"/>
    <w:rsid w:val="0099661C"/>
    <w:rsid w:val="009B4291"/>
    <w:rsid w:val="009E2127"/>
    <w:rsid w:val="00A50C6D"/>
    <w:rsid w:val="00AC68C8"/>
    <w:rsid w:val="00B73361"/>
    <w:rsid w:val="00BA0C06"/>
    <w:rsid w:val="00BA4199"/>
    <w:rsid w:val="00BA5B87"/>
    <w:rsid w:val="00BA70DE"/>
    <w:rsid w:val="00BD2F5E"/>
    <w:rsid w:val="00BE4BD6"/>
    <w:rsid w:val="00C16E00"/>
    <w:rsid w:val="00C96881"/>
    <w:rsid w:val="00CA5815"/>
    <w:rsid w:val="00DA1141"/>
    <w:rsid w:val="00DA36B4"/>
    <w:rsid w:val="00DC2321"/>
    <w:rsid w:val="00DD06BC"/>
    <w:rsid w:val="00E653FA"/>
    <w:rsid w:val="00EA23F4"/>
    <w:rsid w:val="00F137D4"/>
    <w:rsid w:val="00FA51FA"/>
    <w:rsid w:val="00FD1759"/>
    <w:rsid w:val="00FE73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011E-DCE8-4248-8C4C-2C9A910B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C7A02"/>
    <w:rPr>
      <w:color w:val="0000FF"/>
      <w:u w:val="single"/>
    </w:rPr>
  </w:style>
  <w:style w:type="character" w:styleId="Strong">
    <w:name w:val="Strong"/>
    <w:basedOn w:val="DefaultParagraphFont"/>
    <w:uiPriority w:val="22"/>
    <w:qFormat/>
    <w:rsid w:val="008C7A02"/>
    <w:rPr>
      <w:b/>
      <w:bCs/>
    </w:rPr>
  </w:style>
  <w:style w:type="character" w:customStyle="1" w:styleId="head1">
    <w:name w:val="head1"/>
    <w:basedOn w:val="DefaultParagraphFont"/>
    <w:rsid w:val="00BE4BD6"/>
  </w:style>
  <w:style w:type="paragraph" w:customStyle="1" w:styleId="msonormal0">
    <w:name w:val="msonormal"/>
    <w:basedOn w:val="Normal"/>
    <w:rsid w:val="004300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430013"/>
    <w:rPr>
      <w:color w:val="800080"/>
      <w:u w:val="single"/>
    </w:rPr>
  </w:style>
  <w:style w:type="character" w:styleId="Emphasis">
    <w:name w:val="Emphasis"/>
    <w:basedOn w:val="DefaultParagraphFont"/>
    <w:uiPriority w:val="20"/>
    <w:qFormat/>
    <w:rsid w:val="00C16E00"/>
    <w:rPr>
      <w:i/>
      <w:iCs/>
    </w:rPr>
  </w:style>
  <w:style w:type="table" w:styleId="TableGrid">
    <w:name w:val="Table Grid"/>
    <w:basedOn w:val="TableNormal"/>
    <w:uiPriority w:val="39"/>
    <w:rsid w:val="007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199"/>
    <w:pPr>
      <w:ind w:left="720"/>
      <w:contextualSpacing/>
    </w:pPr>
  </w:style>
  <w:style w:type="paragraph" w:styleId="NoSpacing">
    <w:name w:val="No Spacing"/>
    <w:uiPriority w:val="1"/>
    <w:qFormat/>
    <w:rsid w:val="00BA0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075">
      <w:bodyDiv w:val="1"/>
      <w:marLeft w:val="0"/>
      <w:marRight w:val="0"/>
      <w:marTop w:val="0"/>
      <w:marBottom w:val="0"/>
      <w:divBdr>
        <w:top w:val="none" w:sz="0" w:space="0" w:color="auto"/>
        <w:left w:val="none" w:sz="0" w:space="0" w:color="auto"/>
        <w:bottom w:val="none" w:sz="0" w:space="0" w:color="auto"/>
        <w:right w:val="none" w:sz="0" w:space="0" w:color="auto"/>
      </w:divBdr>
    </w:div>
    <w:div w:id="8609002">
      <w:bodyDiv w:val="1"/>
      <w:marLeft w:val="0"/>
      <w:marRight w:val="0"/>
      <w:marTop w:val="0"/>
      <w:marBottom w:val="0"/>
      <w:divBdr>
        <w:top w:val="none" w:sz="0" w:space="0" w:color="auto"/>
        <w:left w:val="none" w:sz="0" w:space="0" w:color="auto"/>
        <w:bottom w:val="none" w:sz="0" w:space="0" w:color="auto"/>
        <w:right w:val="none" w:sz="0" w:space="0" w:color="auto"/>
      </w:divBdr>
    </w:div>
    <w:div w:id="16539461">
      <w:bodyDiv w:val="1"/>
      <w:marLeft w:val="0"/>
      <w:marRight w:val="0"/>
      <w:marTop w:val="0"/>
      <w:marBottom w:val="0"/>
      <w:divBdr>
        <w:top w:val="none" w:sz="0" w:space="0" w:color="auto"/>
        <w:left w:val="none" w:sz="0" w:space="0" w:color="auto"/>
        <w:bottom w:val="none" w:sz="0" w:space="0" w:color="auto"/>
        <w:right w:val="none" w:sz="0" w:space="0" w:color="auto"/>
      </w:divBdr>
    </w:div>
    <w:div w:id="21321484">
      <w:bodyDiv w:val="1"/>
      <w:marLeft w:val="0"/>
      <w:marRight w:val="0"/>
      <w:marTop w:val="0"/>
      <w:marBottom w:val="0"/>
      <w:divBdr>
        <w:top w:val="none" w:sz="0" w:space="0" w:color="auto"/>
        <w:left w:val="none" w:sz="0" w:space="0" w:color="auto"/>
        <w:bottom w:val="none" w:sz="0" w:space="0" w:color="auto"/>
        <w:right w:val="none" w:sz="0" w:space="0" w:color="auto"/>
      </w:divBdr>
    </w:div>
    <w:div w:id="28579107">
      <w:bodyDiv w:val="1"/>
      <w:marLeft w:val="0"/>
      <w:marRight w:val="0"/>
      <w:marTop w:val="0"/>
      <w:marBottom w:val="0"/>
      <w:divBdr>
        <w:top w:val="none" w:sz="0" w:space="0" w:color="auto"/>
        <w:left w:val="none" w:sz="0" w:space="0" w:color="auto"/>
        <w:bottom w:val="none" w:sz="0" w:space="0" w:color="auto"/>
        <w:right w:val="none" w:sz="0" w:space="0" w:color="auto"/>
      </w:divBdr>
    </w:div>
    <w:div w:id="33889819">
      <w:bodyDiv w:val="1"/>
      <w:marLeft w:val="0"/>
      <w:marRight w:val="0"/>
      <w:marTop w:val="0"/>
      <w:marBottom w:val="0"/>
      <w:divBdr>
        <w:top w:val="none" w:sz="0" w:space="0" w:color="auto"/>
        <w:left w:val="none" w:sz="0" w:space="0" w:color="auto"/>
        <w:bottom w:val="none" w:sz="0" w:space="0" w:color="auto"/>
        <w:right w:val="none" w:sz="0" w:space="0" w:color="auto"/>
      </w:divBdr>
    </w:div>
    <w:div w:id="36974684">
      <w:bodyDiv w:val="1"/>
      <w:marLeft w:val="0"/>
      <w:marRight w:val="0"/>
      <w:marTop w:val="0"/>
      <w:marBottom w:val="0"/>
      <w:divBdr>
        <w:top w:val="none" w:sz="0" w:space="0" w:color="auto"/>
        <w:left w:val="none" w:sz="0" w:space="0" w:color="auto"/>
        <w:bottom w:val="none" w:sz="0" w:space="0" w:color="auto"/>
        <w:right w:val="none" w:sz="0" w:space="0" w:color="auto"/>
      </w:divBdr>
    </w:div>
    <w:div w:id="61292278">
      <w:bodyDiv w:val="1"/>
      <w:marLeft w:val="0"/>
      <w:marRight w:val="0"/>
      <w:marTop w:val="0"/>
      <w:marBottom w:val="0"/>
      <w:divBdr>
        <w:top w:val="none" w:sz="0" w:space="0" w:color="auto"/>
        <w:left w:val="none" w:sz="0" w:space="0" w:color="auto"/>
        <w:bottom w:val="none" w:sz="0" w:space="0" w:color="auto"/>
        <w:right w:val="none" w:sz="0" w:space="0" w:color="auto"/>
      </w:divBdr>
    </w:div>
    <w:div w:id="92291526">
      <w:bodyDiv w:val="1"/>
      <w:marLeft w:val="0"/>
      <w:marRight w:val="0"/>
      <w:marTop w:val="0"/>
      <w:marBottom w:val="0"/>
      <w:divBdr>
        <w:top w:val="none" w:sz="0" w:space="0" w:color="auto"/>
        <w:left w:val="none" w:sz="0" w:space="0" w:color="auto"/>
        <w:bottom w:val="none" w:sz="0" w:space="0" w:color="auto"/>
        <w:right w:val="none" w:sz="0" w:space="0" w:color="auto"/>
      </w:divBdr>
    </w:div>
    <w:div w:id="94643453">
      <w:bodyDiv w:val="1"/>
      <w:marLeft w:val="0"/>
      <w:marRight w:val="0"/>
      <w:marTop w:val="0"/>
      <w:marBottom w:val="0"/>
      <w:divBdr>
        <w:top w:val="none" w:sz="0" w:space="0" w:color="auto"/>
        <w:left w:val="none" w:sz="0" w:space="0" w:color="auto"/>
        <w:bottom w:val="none" w:sz="0" w:space="0" w:color="auto"/>
        <w:right w:val="none" w:sz="0" w:space="0" w:color="auto"/>
      </w:divBdr>
    </w:div>
    <w:div w:id="108089582">
      <w:bodyDiv w:val="1"/>
      <w:marLeft w:val="0"/>
      <w:marRight w:val="0"/>
      <w:marTop w:val="0"/>
      <w:marBottom w:val="0"/>
      <w:divBdr>
        <w:top w:val="none" w:sz="0" w:space="0" w:color="auto"/>
        <w:left w:val="none" w:sz="0" w:space="0" w:color="auto"/>
        <w:bottom w:val="none" w:sz="0" w:space="0" w:color="auto"/>
        <w:right w:val="none" w:sz="0" w:space="0" w:color="auto"/>
      </w:divBdr>
    </w:div>
    <w:div w:id="137000519">
      <w:bodyDiv w:val="1"/>
      <w:marLeft w:val="0"/>
      <w:marRight w:val="0"/>
      <w:marTop w:val="0"/>
      <w:marBottom w:val="0"/>
      <w:divBdr>
        <w:top w:val="none" w:sz="0" w:space="0" w:color="auto"/>
        <w:left w:val="none" w:sz="0" w:space="0" w:color="auto"/>
        <w:bottom w:val="none" w:sz="0" w:space="0" w:color="auto"/>
        <w:right w:val="none" w:sz="0" w:space="0" w:color="auto"/>
      </w:divBdr>
    </w:div>
    <w:div w:id="166487762">
      <w:bodyDiv w:val="1"/>
      <w:marLeft w:val="0"/>
      <w:marRight w:val="0"/>
      <w:marTop w:val="0"/>
      <w:marBottom w:val="0"/>
      <w:divBdr>
        <w:top w:val="none" w:sz="0" w:space="0" w:color="auto"/>
        <w:left w:val="none" w:sz="0" w:space="0" w:color="auto"/>
        <w:bottom w:val="none" w:sz="0" w:space="0" w:color="auto"/>
        <w:right w:val="none" w:sz="0" w:space="0" w:color="auto"/>
      </w:divBdr>
      <w:divsChild>
        <w:div w:id="152334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13591510">
      <w:bodyDiv w:val="1"/>
      <w:marLeft w:val="0"/>
      <w:marRight w:val="0"/>
      <w:marTop w:val="0"/>
      <w:marBottom w:val="0"/>
      <w:divBdr>
        <w:top w:val="none" w:sz="0" w:space="0" w:color="auto"/>
        <w:left w:val="none" w:sz="0" w:space="0" w:color="auto"/>
        <w:bottom w:val="none" w:sz="0" w:space="0" w:color="auto"/>
        <w:right w:val="none" w:sz="0" w:space="0" w:color="auto"/>
      </w:divBdr>
    </w:div>
    <w:div w:id="216668471">
      <w:bodyDiv w:val="1"/>
      <w:marLeft w:val="0"/>
      <w:marRight w:val="0"/>
      <w:marTop w:val="0"/>
      <w:marBottom w:val="0"/>
      <w:divBdr>
        <w:top w:val="none" w:sz="0" w:space="0" w:color="auto"/>
        <w:left w:val="none" w:sz="0" w:space="0" w:color="auto"/>
        <w:bottom w:val="none" w:sz="0" w:space="0" w:color="auto"/>
        <w:right w:val="none" w:sz="0" w:space="0" w:color="auto"/>
      </w:divBdr>
    </w:div>
    <w:div w:id="217790509">
      <w:bodyDiv w:val="1"/>
      <w:marLeft w:val="0"/>
      <w:marRight w:val="0"/>
      <w:marTop w:val="0"/>
      <w:marBottom w:val="0"/>
      <w:divBdr>
        <w:top w:val="none" w:sz="0" w:space="0" w:color="auto"/>
        <w:left w:val="none" w:sz="0" w:space="0" w:color="auto"/>
        <w:bottom w:val="none" w:sz="0" w:space="0" w:color="auto"/>
        <w:right w:val="none" w:sz="0" w:space="0" w:color="auto"/>
      </w:divBdr>
    </w:div>
    <w:div w:id="222764671">
      <w:bodyDiv w:val="1"/>
      <w:marLeft w:val="0"/>
      <w:marRight w:val="0"/>
      <w:marTop w:val="0"/>
      <w:marBottom w:val="0"/>
      <w:divBdr>
        <w:top w:val="none" w:sz="0" w:space="0" w:color="auto"/>
        <w:left w:val="none" w:sz="0" w:space="0" w:color="auto"/>
        <w:bottom w:val="none" w:sz="0" w:space="0" w:color="auto"/>
        <w:right w:val="none" w:sz="0" w:space="0" w:color="auto"/>
      </w:divBdr>
    </w:div>
    <w:div w:id="227493853">
      <w:bodyDiv w:val="1"/>
      <w:marLeft w:val="0"/>
      <w:marRight w:val="0"/>
      <w:marTop w:val="0"/>
      <w:marBottom w:val="0"/>
      <w:divBdr>
        <w:top w:val="none" w:sz="0" w:space="0" w:color="auto"/>
        <w:left w:val="none" w:sz="0" w:space="0" w:color="auto"/>
        <w:bottom w:val="none" w:sz="0" w:space="0" w:color="auto"/>
        <w:right w:val="none" w:sz="0" w:space="0" w:color="auto"/>
      </w:divBdr>
    </w:div>
    <w:div w:id="230819233">
      <w:bodyDiv w:val="1"/>
      <w:marLeft w:val="0"/>
      <w:marRight w:val="0"/>
      <w:marTop w:val="0"/>
      <w:marBottom w:val="0"/>
      <w:divBdr>
        <w:top w:val="none" w:sz="0" w:space="0" w:color="auto"/>
        <w:left w:val="none" w:sz="0" w:space="0" w:color="auto"/>
        <w:bottom w:val="none" w:sz="0" w:space="0" w:color="auto"/>
        <w:right w:val="none" w:sz="0" w:space="0" w:color="auto"/>
      </w:divBdr>
    </w:div>
    <w:div w:id="231158842">
      <w:bodyDiv w:val="1"/>
      <w:marLeft w:val="0"/>
      <w:marRight w:val="0"/>
      <w:marTop w:val="0"/>
      <w:marBottom w:val="0"/>
      <w:divBdr>
        <w:top w:val="none" w:sz="0" w:space="0" w:color="auto"/>
        <w:left w:val="none" w:sz="0" w:space="0" w:color="auto"/>
        <w:bottom w:val="none" w:sz="0" w:space="0" w:color="auto"/>
        <w:right w:val="none" w:sz="0" w:space="0" w:color="auto"/>
      </w:divBdr>
    </w:div>
    <w:div w:id="233929865">
      <w:bodyDiv w:val="1"/>
      <w:marLeft w:val="0"/>
      <w:marRight w:val="0"/>
      <w:marTop w:val="0"/>
      <w:marBottom w:val="0"/>
      <w:divBdr>
        <w:top w:val="none" w:sz="0" w:space="0" w:color="auto"/>
        <w:left w:val="none" w:sz="0" w:space="0" w:color="auto"/>
        <w:bottom w:val="none" w:sz="0" w:space="0" w:color="auto"/>
        <w:right w:val="none" w:sz="0" w:space="0" w:color="auto"/>
      </w:divBdr>
    </w:div>
    <w:div w:id="235286390">
      <w:bodyDiv w:val="1"/>
      <w:marLeft w:val="0"/>
      <w:marRight w:val="0"/>
      <w:marTop w:val="0"/>
      <w:marBottom w:val="0"/>
      <w:divBdr>
        <w:top w:val="none" w:sz="0" w:space="0" w:color="auto"/>
        <w:left w:val="none" w:sz="0" w:space="0" w:color="auto"/>
        <w:bottom w:val="none" w:sz="0" w:space="0" w:color="auto"/>
        <w:right w:val="none" w:sz="0" w:space="0" w:color="auto"/>
      </w:divBdr>
    </w:div>
    <w:div w:id="258567117">
      <w:bodyDiv w:val="1"/>
      <w:marLeft w:val="0"/>
      <w:marRight w:val="0"/>
      <w:marTop w:val="0"/>
      <w:marBottom w:val="0"/>
      <w:divBdr>
        <w:top w:val="none" w:sz="0" w:space="0" w:color="auto"/>
        <w:left w:val="none" w:sz="0" w:space="0" w:color="auto"/>
        <w:bottom w:val="none" w:sz="0" w:space="0" w:color="auto"/>
        <w:right w:val="none" w:sz="0" w:space="0" w:color="auto"/>
      </w:divBdr>
    </w:div>
    <w:div w:id="271858561">
      <w:bodyDiv w:val="1"/>
      <w:marLeft w:val="0"/>
      <w:marRight w:val="0"/>
      <w:marTop w:val="0"/>
      <w:marBottom w:val="0"/>
      <w:divBdr>
        <w:top w:val="none" w:sz="0" w:space="0" w:color="auto"/>
        <w:left w:val="none" w:sz="0" w:space="0" w:color="auto"/>
        <w:bottom w:val="none" w:sz="0" w:space="0" w:color="auto"/>
        <w:right w:val="none" w:sz="0" w:space="0" w:color="auto"/>
      </w:divBdr>
    </w:div>
    <w:div w:id="274557839">
      <w:bodyDiv w:val="1"/>
      <w:marLeft w:val="0"/>
      <w:marRight w:val="0"/>
      <w:marTop w:val="0"/>
      <w:marBottom w:val="0"/>
      <w:divBdr>
        <w:top w:val="none" w:sz="0" w:space="0" w:color="auto"/>
        <w:left w:val="none" w:sz="0" w:space="0" w:color="auto"/>
        <w:bottom w:val="none" w:sz="0" w:space="0" w:color="auto"/>
        <w:right w:val="none" w:sz="0" w:space="0" w:color="auto"/>
      </w:divBdr>
    </w:div>
    <w:div w:id="311907784">
      <w:bodyDiv w:val="1"/>
      <w:marLeft w:val="0"/>
      <w:marRight w:val="0"/>
      <w:marTop w:val="0"/>
      <w:marBottom w:val="0"/>
      <w:divBdr>
        <w:top w:val="none" w:sz="0" w:space="0" w:color="auto"/>
        <w:left w:val="none" w:sz="0" w:space="0" w:color="auto"/>
        <w:bottom w:val="none" w:sz="0" w:space="0" w:color="auto"/>
        <w:right w:val="none" w:sz="0" w:space="0" w:color="auto"/>
      </w:divBdr>
    </w:div>
    <w:div w:id="313098231">
      <w:bodyDiv w:val="1"/>
      <w:marLeft w:val="0"/>
      <w:marRight w:val="0"/>
      <w:marTop w:val="0"/>
      <w:marBottom w:val="0"/>
      <w:divBdr>
        <w:top w:val="none" w:sz="0" w:space="0" w:color="auto"/>
        <w:left w:val="none" w:sz="0" w:space="0" w:color="auto"/>
        <w:bottom w:val="none" w:sz="0" w:space="0" w:color="auto"/>
        <w:right w:val="none" w:sz="0" w:space="0" w:color="auto"/>
      </w:divBdr>
    </w:div>
    <w:div w:id="322590242">
      <w:bodyDiv w:val="1"/>
      <w:marLeft w:val="0"/>
      <w:marRight w:val="0"/>
      <w:marTop w:val="0"/>
      <w:marBottom w:val="0"/>
      <w:divBdr>
        <w:top w:val="none" w:sz="0" w:space="0" w:color="auto"/>
        <w:left w:val="none" w:sz="0" w:space="0" w:color="auto"/>
        <w:bottom w:val="none" w:sz="0" w:space="0" w:color="auto"/>
        <w:right w:val="none" w:sz="0" w:space="0" w:color="auto"/>
      </w:divBdr>
    </w:div>
    <w:div w:id="326177256">
      <w:bodyDiv w:val="1"/>
      <w:marLeft w:val="0"/>
      <w:marRight w:val="0"/>
      <w:marTop w:val="0"/>
      <w:marBottom w:val="0"/>
      <w:divBdr>
        <w:top w:val="none" w:sz="0" w:space="0" w:color="auto"/>
        <w:left w:val="none" w:sz="0" w:space="0" w:color="auto"/>
        <w:bottom w:val="none" w:sz="0" w:space="0" w:color="auto"/>
        <w:right w:val="none" w:sz="0" w:space="0" w:color="auto"/>
      </w:divBdr>
    </w:div>
    <w:div w:id="386999612">
      <w:bodyDiv w:val="1"/>
      <w:marLeft w:val="0"/>
      <w:marRight w:val="0"/>
      <w:marTop w:val="0"/>
      <w:marBottom w:val="0"/>
      <w:divBdr>
        <w:top w:val="none" w:sz="0" w:space="0" w:color="auto"/>
        <w:left w:val="none" w:sz="0" w:space="0" w:color="auto"/>
        <w:bottom w:val="none" w:sz="0" w:space="0" w:color="auto"/>
        <w:right w:val="none" w:sz="0" w:space="0" w:color="auto"/>
      </w:divBdr>
    </w:div>
    <w:div w:id="396586796">
      <w:bodyDiv w:val="1"/>
      <w:marLeft w:val="0"/>
      <w:marRight w:val="0"/>
      <w:marTop w:val="0"/>
      <w:marBottom w:val="0"/>
      <w:divBdr>
        <w:top w:val="none" w:sz="0" w:space="0" w:color="auto"/>
        <w:left w:val="none" w:sz="0" w:space="0" w:color="auto"/>
        <w:bottom w:val="none" w:sz="0" w:space="0" w:color="auto"/>
        <w:right w:val="none" w:sz="0" w:space="0" w:color="auto"/>
      </w:divBdr>
    </w:div>
    <w:div w:id="414131266">
      <w:bodyDiv w:val="1"/>
      <w:marLeft w:val="0"/>
      <w:marRight w:val="0"/>
      <w:marTop w:val="0"/>
      <w:marBottom w:val="0"/>
      <w:divBdr>
        <w:top w:val="none" w:sz="0" w:space="0" w:color="auto"/>
        <w:left w:val="none" w:sz="0" w:space="0" w:color="auto"/>
        <w:bottom w:val="none" w:sz="0" w:space="0" w:color="auto"/>
        <w:right w:val="none" w:sz="0" w:space="0" w:color="auto"/>
      </w:divBdr>
    </w:div>
    <w:div w:id="420952876">
      <w:bodyDiv w:val="1"/>
      <w:marLeft w:val="0"/>
      <w:marRight w:val="0"/>
      <w:marTop w:val="0"/>
      <w:marBottom w:val="0"/>
      <w:divBdr>
        <w:top w:val="none" w:sz="0" w:space="0" w:color="auto"/>
        <w:left w:val="none" w:sz="0" w:space="0" w:color="auto"/>
        <w:bottom w:val="none" w:sz="0" w:space="0" w:color="auto"/>
        <w:right w:val="none" w:sz="0" w:space="0" w:color="auto"/>
      </w:divBdr>
    </w:div>
    <w:div w:id="427239035">
      <w:bodyDiv w:val="1"/>
      <w:marLeft w:val="0"/>
      <w:marRight w:val="0"/>
      <w:marTop w:val="0"/>
      <w:marBottom w:val="0"/>
      <w:divBdr>
        <w:top w:val="none" w:sz="0" w:space="0" w:color="auto"/>
        <w:left w:val="none" w:sz="0" w:space="0" w:color="auto"/>
        <w:bottom w:val="none" w:sz="0" w:space="0" w:color="auto"/>
        <w:right w:val="none" w:sz="0" w:space="0" w:color="auto"/>
      </w:divBdr>
    </w:div>
    <w:div w:id="445537964">
      <w:bodyDiv w:val="1"/>
      <w:marLeft w:val="0"/>
      <w:marRight w:val="0"/>
      <w:marTop w:val="0"/>
      <w:marBottom w:val="0"/>
      <w:divBdr>
        <w:top w:val="none" w:sz="0" w:space="0" w:color="auto"/>
        <w:left w:val="none" w:sz="0" w:space="0" w:color="auto"/>
        <w:bottom w:val="none" w:sz="0" w:space="0" w:color="auto"/>
        <w:right w:val="none" w:sz="0" w:space="0" w:color="auto"/>
      </w:divBdr>
    </w:div>
    <w:div w:id="452672347">
      <w:bodyDiv w:val="1"/>
      <w:marLeft w:val="0"/>
      <w:marRight w:val="0"/>
      <w:marTop w:val="0"/>
      <w:marBottom w:val="0"/>
      <w:divBdr>
        <w:top w:val="none" w:sz="0" w:space="0" w:color="auto"/>
        <w:left w:val="none" w:sz="0" w:space="0" w:color="auto"/>
        <w:bottom w:val="none" w:sz="0" w:space="0" w:color="auto"/>
        <w:right w:val="none" w:sz="0" w:space="0" w:color="auto"/>
      </w:divBdr>
    </w:div>
    <w:div w:id="462965334">
      <w:bodyDiv w:val="1"/>
      <w:marLeft w:val="0"/>
      <w:marRight w:val="0"/>
      <w:marTop w:val="0"/>
      <w:marBottom w:val="0"/>
      <w:divBdr>
        <w:top w:val="none" w:sz="0" w:space="0" w:color="auto"/>
        <w:left w:val="none" w:sz="0" w:space="0" w:color="auto"/>
        <w:bottom w:val="none" w:sz="0" w:space="0" w:color="auto"/>
        <w:right w:val="none" w:sz="0" w:space="0" w:color="auto"/>
      </w:divBdr>
    </w:div>
    <w:div w:id="463816516">
      <w:bodyDiv w:val="1"/>
      <w:marLeft w:val="0"/>
      <w:marRight w:val="0"/>
      <w:marTop w:val="0"/>
      <w:marBottom w:val="0"/>
      <w:divBdr>
        <w:top w:val="none" w:sz="0" w:space="0" w:color="auto"/>
        <w:left w:val="none" w:sz="0" w:space="0" w:color="auto"/>
        <w:bottom w:val="none" w:sz="0" w:space="0" w:color="auto"/>
        <w:right w:val="none" w:sz="0" w:space="0" w:color="auto"/>
      </w:divBdr>
    </w:div>
    <w:div w:id="466314997">
      <w:bodyDiv w:val="1"/>
      <w:marLeft w:val="0"/>
      <w:marRight w:val="0"/>
      <w:marTop w:val="0"/>
      <w:marBottom w:val="0"/>
      <w:divBdr>
        <w:top w:val="none" w:sz="0" w:space="0" w:color="auto"/>
        <w:left w:val="none" w:sz="0" w:space="0" w:color="auto"/>
        <w:bottom w:val="none" w:sz="0" w:space="0" w:color="auto"/>
        <w:right w:val="none" w:sz="0" w:space="0" w:color="auto"/>
      </w:divBdr>
    </w:div>
    <w:div w:id="494146283">
      <w:bodyDiv w:val="1"/>
      <w:marLeft w:val="0"/>
      <w:marRight w:val="0"/>
      <w:marTop w:val="0"/>
      <w:marBottom w:val="0"/>
      <w:divBdr>
        <w:top w:val="none" w:sz="0" w:space="0" w:color="auto"/>
        <w:left w:val="none" w:sz="0" w:space="0" w:color="auto"/>
        <w:bottom w:val="none" w:sz="0" w:space="0" w:color="auto"/>
        <w:right w:val="none" w:sz="0" w:space="0" w:color="auto"/>
      </w:divBdr>
    </w:div>
    <w:div w:id="521214259">
      <w:bodyDiv w:val="1"/>
      <w:marLeft w:val="0"/>
      <w:marRight w:val="0"/>
      <w:marTop w:val="0"/>
      <w:marBottom w:val="0"/>
      <w:divBdr>
        <w:top w:val="none" w:sz="0" w:space="0" w:color="auto"/>
        <w:left w:val="none" w:sz="0" w:space="0" w:color="auto"/>
        <w:bottom w:val="none" w:sz="0" w:space="0" w:color="auto"/>
        <w:right w:val="none" w:sz="0" w:space="0" w:color="auto"/>
      </w:divBdr>
    </w:div>
    <w:div w:id="550196514">
      <w:bodyDiv w:val="1"/>
      <w:marLeft w:val="0"/>
      <w:marRight w:val="0"/>
      <w:marTop w:val="0"/>
      <w:marBottom w:val="0"/>
      <w:divBdr>
        <w:top w:val="none" w:sz="0" w:space="0" w:color="auto"/>
        <w:left w:val="none" w:sz="0" w:space="0" w:color="auto"/>
        <w:bottom w:val="none" w:sz="0" w:space="0" w:color="auto"/>
        <w:right w:val="none" w:sz="0" w:space="0" w:color="auto"/>
      </w:divBdr>
    </w:div>
    <w:div w:id="591398326">
      <w:bodyDiv w:val="1"/>
      <w:marLeft w:val="0"/>
      <w:marRight w:val="0"/>
      <w:marTop w:val="0"/>
      <w:marBottom w:val="0"/>
      <w:divBdr>
        <w:top w:val="none" w:sz="0" w:space="0" w:color="auto"/>
        <w:left w:val="none" w:sz="0" w:space="0" w:color="auto"/>
        <w:bottom w:val="none" w:sz="0" w:space="0" w:color="auto"/>
        <w:right w:val="none" w:sz="0" w:space="0" w:color="auto"/>
      </w:divBdr>
    </w:div>
    <w:div w:id="594284341">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39311987">
      <w:bodyDiv w:val="1"/>
      <w:marLeft w:val="0"/>
      <w:marRight w:val="0"/>
      <w:marTop w:val="0"/>
      <w:marBottom w:val="0"/>
      <w:divBdr>
        <w:top w:val="none" w:sz="0" w:space="0" w:color="auto"/>
        <w:left w:val="none" w:sz="0" w:space="0" w:color="auto"/>
        <w:bottom w:val="none" w:sz="0" w:space="0" w:color="auto"/>
        <w:right w:val="none" w:sz="0" w:space="0" w:color="auto"/>
      </w:divBdr>
    </w:div>
    <w:div w:id="654842157">
      <w:bodyDiv w:val="1"/>
      <w:marLeft w:val="0"/>
      <w:marRight w:val="0"/>
      <w:marTop w:val="0"/>
      <w:marBottom w:val="0"/>
      <w:divBdr>
        <w:top w:val="none" w:sz="0" w:space="0" w:color="auto"/>
        <w:left w:val="none" w:sz="0" w:space="0" w:color="auto"/>
        <w:bottom w:val="none" w:sz="0" w:space="0" w:color="auto"/>
        <w:right w:val="none" w:sz="0" w:space="0" w:color="auto"/>
      </w:divBdr>
    </w:div>
    <w:div w:id="660696416">
      <w:bodyDiv w:val="1"/>
      <w:marLeft w:val="0"/>
      <w:marRight w:val="0"/>
      <w:marTop w:val="0"/>
      <w:marBottom w:val="0"/>
      <w:divBdr>
        <w:top w:val="none" w:sz="0" w:space="0" w:color="auto"/>
        <w:left w:val="none" w:sz="0" w:space="0" w:color="auto"/>
        <w:bottom w:val="none" w:sz="0" w:space="0" w:color="auto"/>
        <w:right w:val="none" w:sz="0" w:space="0" w:color="auto"/>
      </w:divBdr>
    </w:div>
    <w:div w:id="664935080">
      <w:bodyDiv w:val="1"/>
      <w:marLeft w:val="0"/>
      <w:marRight w:val="0"/>
      <w:marTop w:val="0"/>
      <w:marBottom w:val="0"/>
      <w:divBdr>
        <w:top w:val="none" w:sz="0" w:space="0" w:color="auto"/>
        <w:left w:val="none" w:sz="0" w:space="0" w:color="auto"/>
        <w:bottom w:val="none" w:sz="0" w:space="0" w:color="auto"/>
        <w:right w:val="none" w:sz="0" w:space="0" w:color="auto"/>
      </w:divBdr>
    </w:div>
    <w:div w:id="665985340">
      <w:bodyDiv w:val="1"/>
      <w:marLeft w:val="0"/>
      <w:marRight w:val="0"/>
      <w:marTop w:val="0"/>
      <w:marBottom w:val="0"/>
      <w:divBdr>
        <w:top w:val="none" w:sz="0" w:space="0" w:color="auto"/>
        <w:left w:val="none" w:sz="0" w:space="0" w:color="auto"/>
        <w:bottom w:val="none" w:sz="0" w:space="0" w:color="auto"/>
        <w:right w:val="none" w:sz="0" w:space="0" w:color="auto"/>
      </w:divBdr>
    </w:div>
    <w:div w:id="669673616">
      <w:bodyDiv w:val="1"/>
      <w:marLeft w:val="0"/>
      <w:marRight w:val="0"/>
      <w:marTop w:val="0"/>
      <w:marBottom w:val="0"/>
      <w:divBdr>
        <w:top w:val="none" w:sz="0" w:space="0" w:color="auto"/>
        <w:left w:val="none" w:sz="0" w:space="0" w:color="auto"/>
        <w:bottom w:val="none" w:sz="0" w:space="0" w:color="auto"/>
        <w:right w:val="none" w:sz="0" w:space="0" w:color="auto"/>
      </w:divBdr>
    </w:div>
    <w:div w:id="678002605">
      <w:bodyDiv w:val="1"/>
      <w:marLeft w:val="0"/>
      <w:marRight w:val="0"/>
      <w:marTop w:val="0"/>
      <w:marBottom w:val="0"/>
      <w:divBdr>
        <w:top w:val="none" w:sz="0" w:space="0" w:color="auto"/>
        <w:left w:val="none" w:sz="0" w:space="0" w:color="auto"/>
        <w:bottom w:val="none" w:sz="0" w:space="0" w:color="auto"/>
        <w:right w:val="none" w:sz="0" w:space="0" w:color="auto"/>
      </w:divBdr>
    </w:div>
    <w:div w:id="700084248">
      <w:bodyDiv w:val="1"/>
      <w:marLeft w:val="0"/>
      <w:marRight w:val="0"/>
      <w:marTop w:val="0"/>
      <w:marBottom w:val="0"/>
      <w:divBdr>
        <w:top w:val="none" w:sz="0" w:space="0" w:color="auto"/>
        <w:left w:val="none" w:sz="0" w:space="0" w:color="auto"/>
        <w:bottom w:val="none" w:sz="0" w:space="0" w:color="auto"/>
        <w:right w:val="none" w:sz="0" w:space="0" w:color="auto"/>
      </w:divBdr>
    </w:div>
    <w:div w:id="711538694">
      <w:bodyDiv w:val="1"/>
      <w:marLeft w:val="0"/>
      <w:marRight w:val="0"/>
      <w:marTop w:val="0"/>
      <w:marBottom w:val="0"/>
      <w:divBdr>
        <w:top w:val="none" w:sz="0" w:space="0" w:color="auto"/>
        <w:left w:val="none" w:sz="0" w:space="0" w:color="auto"/>
        <w:bottom w:val="none" w:sz="0" w:space="0" w:color="auto"/>
        <w:right w:val="none" w:sz="0" w:space="0" w:color="auto"/>
      </w:divBdr>
    </w:div>
    <w:div w:id="715662022">
      <w:bodyDiv w:val="1"/>
      <w:marLeft w:val="0"/>
      <w:marRight w:val="0"/>
      <w:marTop w:val="0"/>
      <w:marBottom w:val="0"/>
      <w:divBdr>
        <w:top w:val="none" w:sz="0" w:space="0" w:color="auto"/>
        <w:left w:val="none" w:sz="0" w:space="0" w:color="auto"/>
        <w:bottom w:val="none" w:sz="0" w:space="0" w:color="auto"/>
        <w:right w:val="none" w:sz="0" w:space="0" w:color="auto"/>
      </w:divBdr>
    </w:div>
    <w:div w:id="727803392">
      <w:bodyDiv w:val="1"/>
      <w:marLeft w:val="0"/>
      <w:marRight w:val="0"/>
      <w:marTop w:val="0"/>
      <w:marBottom w:val="0"/>
      <w:divBdr>
        <w:top w:val="none" w:sz="0" w:space="0" w:color="auto"/>
        <w:left w:val="none" w:sz="0" w:space="0" w:color="auto"/>
        <w:bottom w:val="none" w:sz="0" w:space="0" w:color="auto"/>
        <w:right w:val="none" w:sz="0" w:space="0" w:color="auto"/>
      </w:divBdr>
    </w:div>
    <w:div w:id="748500431">
      <w:bodyDiv w:val="1"/>
      <w:marLeft w:val="0"/>
      <w:marRight w:val="0"/>
      <w:marTop w:val="0"/>
      <w:marBottom w:val="0"/>
      <w:divBdr>
        <w:top w:val="none" w:sz="0" w:space="0" w:color="auto"/>
        <w:left w:val="none" w:sz="0" w:space="0" w:color="auto"/>
        <w:bottom w:val="none" w:sz="0" w:space="0" w:color="auto"/>
        <w:right w:val="none" w:sz="0" w:space="0" w:color="auto"/>
      </w:divBdr>
    </w:div>
    <w:div w:id="777716992">
      <w:bodyDiv w:val="1"/>
      <w:marLeft w:val="0"/>
      <w:marRight w:val="0"/>
      <w:marTop w:val="0"/>
      <w:marBottom w:val="0"/>
      <w:divBdr>
        <w:top w:val="none" w:sz="0" w:space="0" w:color="auto"/>
        <w:left w:val="none" w:sz="0" w:space="0" w:color="auto"/>
        <w:bottom w:val="none" w:sz="0" w:space="0" w:color="auto"/>
        <w:right w:val="none" w:sz="0" w:space="0" w:color="auto"/>
      </w:divBdr>
    </w:div>
    <w:div w:id="789470264">
      <w:bodyDiv w:val="1"/>
      <w:marLeft w:val="0"/>
      <w:marRight w:val="0"/>
      <w:marTop w:val="0"/>
      <w:marBottom w:val="0"/>
      <w:divBdr>
        <w:top w:val="none" w:sz="0" w:space="0" w:color="auto"/>
        <w:left w:val="none" w:sz="0" w:space="0" w:color="auto"/>
        <w:bottom w:val="none" w:sz="0" w:space="0" w:color="auto"/>
        <w:right w:val="none" w:sz="0" w:space="0" w:color="auto"/>
      </w:divBdr>
    </w:div>
    <w:div w:id="801270355">
      <w:bodyDiv w:val="1"/>
      <w:marLeft w:val="0"/>
      <w:marRight w:val="0"/>
      <w:marTop w:val="0"/>
      <w:marBottom w:val="0"/>
      <w:divBdr>
        <w:top w:val="none" w:sz="0" w:space="0" w:color="auto"/>
        <w:left w:val="none" w:sz="0" w:space="0" w:color="auto"/>
        <w:bottom w:val="none" w:sz="0" w:space="0" w:color="auto"/>
        <w:right w:val="none" w:sz="0" w:space="0" w:color="auto"/>
      </w:divBdr>
    </w:div>
    <w:div w:id="806438611">
      <w:bodyDiv w:val="1"/>
      <w:marLeft w:val="0"/>
      <w:marRight w:val="0"/>
      <w:marTop w:val="0"/>
      <w:marBottom w:val="0"/>
      <w:divBdr>
        <w:top w:val="none" w:sz="0" w:space="0" w:color="auto"/>
        <w:left w:val="none" w:sz="0" w:space="0" w:color="auto"/>
        <w:bottom w:val="none" w:sz="0" w:space="0" w:color="auto"/>
        <w:right w:val="none" w:sz="0" w:space="0" w:color="auto"/>
      </w:divBdr>
    </w:div>
    <w:div w:id="828247438">
      <w:bodyDiv w:val="1"/>
      <w:marLeft w:val="0"/>
      <w:marRight w:val="0"/>
      <w:marTop w:val="0"/>
      <w:marBottom w:val="0"/>
      <w:divBdr>
        <w:top w:val="none" w:sz="0" w:space="0" w:color="auto"/>
        <w:left w:val="none" w:sz="0" w:space="0" w:color="auto"/>
        <w:bottom w:val="none" w:sz="0" w:space="0" w:color="auto"/>
        <w:right w:val="none" w:sz="0" w:space="0" w:color="auto"/>
      </w:divBdr>
    </w:div>
    <w:div w:id="843860842">
      <w:bodyDiv w:val="1"/>
      <w:marLeft w:val="0"/>
      <w:marRight w:val="0"/>
      <w:marTop w:val="0"/>
      <w:marBottom w:val="0"/>
      <w:divBdr>
        <w:top w:val="none" w:sz="0" w:space="0" w:color="auto"/>
        <w:left w:val="none" w:sz="0" w:space="0" w:color="auto"/>
        <w:bottom w:val="none" w:sz="0" w:space="0" w:color="auto"/>
        <w:right w:val="none" w:sz="0" w:space="0" w:color="auto"/>
      </w:divBdr>
    </w:div>
    <w:div w:id="870385571">
      <w:bodyDiv w:val="1"/>
      <w:marLeft w:val="0"/>
      <w:marRight w:val="0"/>
      <w:marTop w:val="0"/>
      <w:marBottom w:val="0"/>
      <w:divBdr>
        <w:top w:val="none" w:sz="0" w:space="0" w:color="auto"/>
        <w:left w:val="none" w:sz="0" w:space="0" w:color="auto"/>
        <w:bottom w:val="none" w:sz="0" w:space="0" w:color="auto"/>
        <w:right w:val="none" w:sz="0" w:space="0" w:color="auto"/>
      </w:divBdr>
    </w:div>
    <w:div w:id="879560757">
      <w:bodyDiv w:val="1"/>
      <w:marLeft w:val="0"/>
      <w:marRight w:val="0"/>
      <w:marTop w:val="0"/>
      <w:marBottom w:val="0"/>
      <w:divBdr>
        <w:top w:val="none" w:sz="0" w:space="0" w:color="auto"/>
        <w:left w:val="none" w:sz="0" w:space="0" w:color="auto"/>
        <w:bottom w:val="none" w:sz="0" w:space="0" w:color="auto"/>
        <w:right w:val="none" w:sz="0" w:space="0" w:color="auto"/>
      </w:divBdr>
    </w:div>
    <w:div w:id="883635990">
      <w:bodyDiv w:val="1"/>
      <w:marLeft w:val="0"/>
      <w:marRight w:val="0"/>
      <w:marTop w:val="0"/>
      <w:marBottom w:val="0"/>
      <w:divBdr>
        <w:top w:val="none" w:sz="0" w:space="0" w:color="auto"/>
        <w:left w:val="none" w:sz="0" w:space="0" w:color="auto"/>
        <w:bottom w:val="none" w:sz="0" w:space="0" w:color="auto"/>
        <w:right w:val="none" w:sz="0" w:space="0" w:color="auto"/>
      </w:divBdr>
    </w:div>
    <w:div w:id="886406307">
      <w:bodyDiv w:val="1"/>
      <w:marLeft w:val="0"/>
      <w:marRight w:val="0"/>
      <w:marTop w:val="0"/>
      <w:marBottom w:val="0"/>
      <w:divBdr>
        <w:top w:val="none" w:sz="0" w:space="0" w:color="auto"/>
        <w:left w:val="none" w:sz="0" w:space="0" w:color="auto"/>
        <w:bottom w:val="none" w:sz="0" w:space="0" w:color="auto"/>
        <w:right w:val="none" w:sz="0" w:space="0" w:color="auto"/>
      </w:divBdr>
    </w:div>
    <w:div w:id="890387345">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903032960">
      <w:bodyDiv w:val="1"/>
      <w:marLeft w:val="0"/>
      <w:marRight w:val="0"/>
      <w:marTop w:val="0"/>
      <w:marBottom w:val="0"/>
      <w:divBdr>
        <w:top w:val="none" w:sz="0" w:space="0" w:color="auto"/>
        <w:left w:val="none" w:sz="0" w:space="0" w:color="auto"/>
        <w:bottom w:val="none" w:sz="0" w:space="0" w:color="auto"/>
        <w:right w:val="none" w:sz="0" w:space="0" w:color="auto"/>
      </w:divBdr>
    </w:div>
    <w:div w:id="906263673">
      <w:bodyDiv w:val="1"/>
      <w:marLeft w:val="0"/>
      <w:marRight w:val="0"/>
      <w:marTop w:val="0"/>
      <w:marBottom w:val="0"/>
      <w:divBdr>
        <w:top w:val="none" w:sz="0" w:space="0" w:color="auto"/>
        <w:left w:val="none" w:sz="0" w:space="0" w:color="auto"/>
        <w:bottom w:val="none" w:sz="0" w:space="0" w:color="auto"/>
        <w:right w:val="none" w:sz="0" w:space="0" w:color="auto"/>
      </w:divBdr>
    </w:div>
    <w:div w:id="916865073">
      <w:bodyDiv w:val="1"/>
      <w:marLeft w:val="0"/>
      <w:marRight w:val="0"/>
      <w:marTop w:val="0"/>
      <w:marBottom w:val="0"/>
      <w:divBdr>
        <w:top w:val="none" w:sz="0" w:space="0" w:color="auto"/>
        <w:left w:val="none" w:sz="0" w:space="0" w:color="auto"/>
        <w:bottom w:val="none" w:sz="0" w:space="0" w:color="auto"/>
        <w:right w:val="none" w:sz="0" w:space="0" w:color="auto"/>
      </w:divBdr>
    </w:div>
    <w:div w:id="918901097">
      <w:bodyDiv w:val="1"/>
      <w:marLeft w:val="0"/>
      <w:marRight w:val="0"/>
      <w:marTop w:val="0"/>
      <w:marBottom w:val="0"/>
      <w:divBdr>
        <w:top w:val="none" w:sz="0" w:space="0" w:color="auto"/>
        <w:left w:val="none" w:sz="0" w:space="0" w:color="auto"/>
        <w:bottom w:val="none" w:sz="0" w:space="0" w:color="auto"/>
        <w:right w:val="none" w:sz="0" w:space="0" w:color="auto"/>
      </w:divBdr>
    </w:div>
    <w:div w:id="922956890">
      <w:bodyDiv w:val="1"/>
      <w:marLeft w:val="0"/>
      <w:marRight w:val="0"/>
      <w:marTop w:val="0"/>
      <w:marBottom w:val="0"/>
      <w:divBdr>
        <w:top w:val="none" w:sz="0" w:space="0" w:color="auto"/>
        <w:left w:val="none" w:sz="0" w:space="0" w:color="auto"/>
        <w:bottom w:val="none" w:sz="0" w:space="0" w:color="auto"/>
        <w:right w:val="none" w:sz="0" w:space="0" w:color="auto"/>
      </w:divBdr>
    </w:div>
    <w:div w:id="924876333">
      <w:bodyDiv w:val="1"/>
      <w:marLeft w:val="0"/>
      <w:marRight w:val="0"/>
      <w:marTop w:val="0"/>
      <w:marBottom w:val="0"/>
      <w:divBdr>
        <w:top w:val="none" w:sz="0" w:space="0" w:color="auto"/>
        <w:left w:val="none" w:sz="0" w:space="0" w:color="auto"/>
        <w:bottom w:val="none" w:sz="0" w:space="0" w:color="auto"/>
        <w:right w:val="none" w:sz="0" w:space="0" w:color="auto"/>
      </w:divBdr>
    </w:div>
    <w:div w:id="939531404">
      <w:bodyDiv w:val="1"/>
      <w:marLeft w:val="0"/>
      <w:marRight w:val="0"/>
      <w:marTop w:val="0"/>
      <w:marBottom w:val="0"/>
      <w:divBdr>
        <w:top w:val="none" w:sz="0" w:space="0" w:color="auto"/>
        <w:left w:val="none" w:sz="0" w:space="0" w:color="auto"/>
        <w:bottom w:val="none" w:sz="0" w:space="0" w:color="auto"/>
        <w:right w:val="none" w:sz="0" w:space="0" w:color="auto"/>
      </w:divBdr>
    </w:div>
    <w:div w:id="958220609">
      <w:bodyDiv w:val="1"/>
      <w:marLeft w:val="0"/>
      <w:marRight w:val="0"/>
      <w:marTop w:val="0"/>
      <w:marBottom w:val="0"/>
      <w:divBdr>
        <w:top w:val="none" w:sz="0" w:space="0" w:color="auto"/>
        <w:left w:val="none" w:sz="0" w:space="0" w:color="auto"/>
        <w:bottom w:val="none" w:sz="0" w:space="0" w:color="auto"/>
        <w:right w:val="none" w:sz="0" w:space="0" w:color="auto"/>
      </w:divBdr>
    </w:div>
    <w:div w:id="969017121">
      <w:bodyDiv w:val="1"/>
      <w:marLeft w:val="0"/>
      <w:marRight w:val="0"/>
      <w:marTop w:val="0"/>
      <w:marBottom w:val="0"/>
      <w:divBdr>
        <w:top w:val="none" w:sz="0" w:space="0" w:color="auto"/>
        <w:left w:val="none" w:sz="0" w:space="0" w:color="auto"/>
        <w:bottom w:val="none" w:sz="0" w:space="0" w:color="auto"/>
        <w:right w:val="none" w:sz="0" w:space="0" w:color="auto"/>
      </w:divBdr>
    </w:div>
    <w:div w:id="970402306">
      <w:bodyDiv w:val="1"/>
      <w:marLeft w:val="0"/>
      <w:marRight w:val="0"/>
      <w:marTop w:val="0"/>
      <w:marBottom w:val="0"/>
      <w:divBdr>
        <w:top w:val="none" w:sz="0" w:space="0" w:color="auto"/>
        <w:left w:val="none" w:sz="0" w:space="0" w:color="auto"/>
        <w:bottom w:val="none" w:sz="0" w:space="0" w:color="auto"/>
        <w:right w:val="none" w:sz="0" w:space="0" w:color="auto"/>
      </w:divBdr>
      <w:divsChild>
        <w:div w:id="1869904903">
          <w:marLeft w:val="0"/>
          <w:marRight w:val="0"/>
          <w:marTop w:val="0"/>
          <w:marBottom w:val="0"/>
          <w:divBdr>
            <w:top w:val="none" w:sz="0" w:space="0" w:color="auto"/>
            <w:left w:val="none" w:sz="0" w:space="0" w:color="auto"/>
            <w:bottom w:val="none" w:sz="0" w:space="0" w:color="auto"/>
            <w:right w:val="none" w:sz="0" w:space="0" w:color="auto"/>
          </w:divBdr>
        </w:div>
      </w:divsChild>
    </w:div>
    <w:div w:id="986713815">
      <w:bodyDiv w:val="1"/>
      <w:marLeft w:val="0"/>
      <w:marRight w:val="0"/>
      <w:marTop w:val="0"/>
      <w:marBottom w:val="0"/>
      <w:divBdr>
        <w:top w:val="none" w:sz="0" w:space="0" w:color="auto"/>
        <w:left w:val="none" w:sz="0" w:space="0" w:color="auto"/>
        <w:bottom w:val="none" w:sz="0" w:space="0" w:color="auto"/>
        <w:right w:val="none" w:sz="0" w:space="0" w:color="auto"/>
      </w:divBdr>
    </w:div>
    <w:div w:id="1019161441">
      <w:bodyDiv w:val="1"/>
      <w:marLeft w:val="0"/>
      <w:marRight w:val="0"/>
      <w:marTop w:val="0"/>
      <w:marBottom w:val="0"/>
      <w:divBdr>
        <w:top w:val="none" w:sz="0" w:space="0" w:color="auto"/>
        <w:left w:val="none" w:sz="0" w:space="0" w:color="auto"/>
        <w:bottom w:val="none" w:sz="0" w:space="0" w:color="auto"/>
        <w:right w:val="none" w:sz="0" w:space="0" w:color="auto"/>
      </w:divBdr>
    </w:div>
    <w:div w:id="1076587992">
      <w:bodyDiv w:val="1"/>
      <w:marLeft w:val="0"/>
      <w:marRight w:val="0"/>
      <w:marTop w:val="0"/>
      <w:marBottom w:val="0"/>
      <w:divBdr>
        <w:top w:val="none" w:sz="0" w:space="0" w:color="auto"/>
        <w:left w:val="none" w:sz="0" w:space="0" w:color="auto"/>
        <w:bottom w:val="none" w:sz="0" w:space="0" w:color="auto"/>
        <w:right w:val="none" w:sz="0" w:space="0" w:color="auto"/>
      </w:divBdr>
    </w:div>
    <w:div w:id="1081635629">
      <w:bodyDiv w:val="1"/>
      <w:marLeft w:val="0"/>
      <w:marRight w:val="0"/>
      <w:marTop w:val="0"/>
      <w:marBottom w:val="0"/>
      <w:divBdr>
        <w:top w:val="none" w:sz="0" w:space="0" w:color="auto"/>
        <w:left w:val="none" w:sz="0" w:space="0" w:color="auto"/>
        <w:bottom w:val="none" w:sz="0" w:space="0" w:color="auto"/>
        <w:right w:val="none" w:sz="0" w:space="0" w:color="auto"/>
      </w:divBdr>
      <w:divsChild>
        <w:div w:id="1426539837">
          <w:marLeft w:val="0"/>
          <w:marRight w:val="0"/>
          <w:marTop w:val="0"/>
          <w:marBottom w:val="0"/>
          <w:divBdr>
            <w:top w:val="none" w:sz="0" w:space="0" w:color="auto"/>
            <w:left w:val="none" w:sz="0" w:space="0" w:color="auto"/>
            <w:bottom w:val="none" w:sz="0" w:space="0" w:color="auto"/>
            <w:right w:val="none" w:sz="0" w:space="0" w:color="auto"/>
          </w:divBdr>
        </w:div>
      </w:divsChild>
    </w:div>
    <w:div w:id="1097948657">
      <w:bodyDiv w:val="1"/>
      <w:marLeft w:val="0"/>
      <w:marRight w:val="0"/>
      <w:marTop w:val="0"/>
      <w:marBottom w:val="0"/>
      <w:divBdr>
        <w:top w:val="none" w:sz="0" w:space="0" w:color="auto"/>
        <w:left w:val="none" w:sz="0" w:space="0" w:color="auto"/>
        <w:bottom w:val="none" w:sz="0" w:space="0" w:color="auto"/>
        <w:right w:val="none" w:sz="0" w:space="0" w:color="auto"/>
      </w:divBdr>
    </w:div>
    <w:div w:id="1098599105">
      <w:bodyDiv w:val="1"/>
      <w:marLeft w:val="0"/>
      <w:marRight w:val="0"/>
      <w:marTop w:val="0"/>
      <w:marBottom w:val="0"/>
      <w:divBdr>
        <w:top w:val="none" w:sz="0" w:space="0" w:color="auto"/>
        <w:left w:val="none" w:sz="0" w:space="0" w:color="auto"/>
        <w:bottom w:val="none" w:sz="0" w:space="0" w:color="auto"/>
        <w:right w:val="none" w:sz="0" w:space="0" w:color="auto"/>
      </w:divBdr>
      <w:divsChild>
        <w:div w:id="23234978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19252560">
      <w:bodyDiv w:val="1"/>
      <w:marLeft w:val="0"/>
      <w:marRight w:val="0"/>
      <w:marTop w:val="0"/>
      <w:marBottom w:val="0"/>
      <w:divBdr>
        <w:top w:val="none" w:sz="0" w:space="0" w:color="auto"/>
        <w:left w:val="none" w:sz="0" w:space="0" w:color="auto"/>
        <w:bottom w:val="none" w:sz="0" w:space="0" w:color="auto"/>
        <w:right w:val="none" w:sz="0" w:space="0" w:color="auto"/>
      </w:divBdr>
      <w:divsChild>
        <w:div w:id="18745196">
          <w:marLeft w:val="0"/>
          <w:marRight w:val="0"/>
          <w:marTop w:val="0"/>
          <w:marBottom w:val="0"/>
          <w:divBdr>
            <w:top w:val="none" w:sz="0" w:space="0" w:color="auto"/>
            <w:left w:val="none" w:sz="0" w:space="0" w:color="auto"/>
            <w:bottom w:val="none" w:sz="0" w:space="0" w:color="auto"/>
            <w:right w:val="none" w:sz="0" w:space="0" w:color="auto"/>
          </w:divBdr>
        </w:div>
      </w:divsChild>
    </w:div>
    <w:div w:id="1126660584">
      <w:bodyDiv w:val="1"/>
      <w:marLeft w:val="0"/>
      <w:marRight w:val="0"/>
      <w:marTop w:val="0"/>
      <w:marBottom w:val="0"/>
      <w:divBdr>
        <w:top w:val="none" w:sz="0" w:space="0" w:color="auto"/>
        <w:left w:val="none" w:sz="0" w:space="0" w:color="auto"/>
        <w:bottom w:val="none" w:sz="0" w:space="0" w:color="auto"/>
        <w:right w:val="none" w:sz="0" w:space="0" w:color="auto"/>
      </w:divBdr>
    </w:div>
    <w:div w:id="1136215515">
      <w:bodyDiv w:val="1"/>
      <w:marLeft w:val="0"/>
      <w:marRight w:val="0"/>
      <w:marTop w:val="0"/>
      <w:marBottom w:val="0"/>
      <w:divBdr>
        <w:top w:val="none" w:sz="0" w:space="0" w:color="auto"/>
        <w:left w:val="none" w:sz="0" w:space="0" w:color="auto"/>
        <w:bottom w:val="none" w:sz="0" w:space="0" w:color="auto"/>
        <w:right w:val="none" w:sz="0" w:space="0" w:color="auto"/>
      </w:divBdr>
    </w:div>
    <w:div w:id="1171876733">
      <w:bodyDiv w:val="1"/>
      <w:marLeft w:val="0"/>
      <w:marRight w:val="0"/>
      <w:marTop w:val="0"/>
      <w:marBottom w:val="0"/>
      <w:divBdr>
        <w:top w:val="none" w:sz="0" w:space="0" w:color="auto"/>
        <w:left w:val="none" w:sz="0" w:space="0" w:color="auto"/>
        <w:bottom w:val="none" w:sz="0" w:space="0" w:color="auto"/>
        <w:right w:val="none" w:sz="0" w:space="0" w:color="auto"/>
      </w:divBdr>
    </w:div>
    <w:div w:id="1176964967">
      <w:bodyDiv w:val="1"/>
      <w:marLeft w:val="0"/>
      <w:marRight w:val="0"/>
      <w:marTop w:val="0"/>
      <w:marBottom w:val="0"/>
      <w:divBdr>
        <w:top w:val="none" w:sz="0" w:space="0" w:color="auto"/>
        <w:left w:val="none" w:sz="0" w:space="0" w:color="auto"/>
        <w:bottom w:val="none" w:sz="0" w:space="0" w:color="auto"/>
        <w:right w:val="none" w:sz="0" w:space="0" w:color="auto"/>
      </w:divBdr>
    </w:div>
    <w:div w:id="1179077183">
      <w:bodyDiv w:val="1"/>
      <w:marLeft w:val="0"/>
      <w:marRight w:val="0"/>
      <w:marTop w:val="0"/>
      <w:marBottom w:val="0"/>
      <w:divBdr>
        <w:top w:val="none" w:sz="0" w:space="0" w:color="auto"/>
        <w:left w:val="none" w:sz="0" w:space="0" w:color="auto"/>
        <w:bottom w:val="none" w:sz="0" w:space="0" w:color="auto"/>
        <w:right w:val="none" w:sz="0" w:space="0" w:color="auto"/>
      </w:divBdr>
    </w:div>
    <w:div w:id="1198665329">
      <w:bodyDiv w:val="1"/>
      <w:marLeft w:val="0"/>
      <w:marRight w:val="0"/>
      <w:marTop w:val="0"/>
      <w:marBottom w:val="0"/>
      <w:divBdr>
        <w:top w:val="none" w:sz="0" w:space="0" w:color="auto"/>
        <w:left w:val="none" w:sz="0" w:space="0" w:color="auto"/>
        <w:bottom w:val="none" w:sz="0" w:space="0" w:color="auto"/>
        <w:right w:val="none" w:sz="0" w:space="0" w:color="auto"/>
      </w:divBdr>
      <w:divsChild>
        <w:div w:id="105564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7718501">
      <w:bodyDiv w:val="1"/>
      <w:marLeft w:val="0"/>
      <w:marRight w:val="0"/>
      <w:marTop w:val="0"/>
      <w:marBottom w:val="0"/>
      <w:divBdr>
        <w:top w:val="none" w:sz="0" w:space="0" w:color="auto"/>
        <w:left w:val="none" w:sz="0" w:space="0" w:color="auto"/>
        <w:bottom w:val="none" w:sz="0" w:space="0" w:color="auto"/>
        <w:right w:val="none" w:sz="0" w:space="0" w:color="auto"/>
      </w:divBdr>
    </w:div>
    <w:div w:id="1280337479">
      <w:bodyDiv w:val="1"/>
      <w:marLeft w:val="0"/>
      <w:marRight w:val="0"/>
      <w:marTop w:val="0"/>
      <w:marBottom w:val="0"/>
      <w:divBdr>
        <w:top w:val="none" w:sz="0" w:space="0" w:color="auto"/>
        <w:left w:val="none" w:sz="0" w:space="0" w:color="auto"/>
        <w:bottom w:val="none" w:sz="0" w:space="0" w:color="auto"/>
        <w:right w:val="none" w:sz="0" w:space="0" w:color="auto"/>
      </w:divBdr>
    </w:div>
    <w:div w:id="1285500718">
      <w:bodyDiv w:val="1"/>
      <w:marLeft w:val="0"/>
      <w:marRight w:val="0"/>
      <w:marTop w:val="0"/>
      <w:marBottom w:val="0"/>
      <w:divBdr>
        <w:top w:val="none" w:sz="0" w:space="0" w:color="auto"/>
        <w:left w:val="none" w:sz="0" w:space="0" w:color="auto"/>
        <w:bottom w:val="none" w:sz="0" w:space="0" w:color="auto"/>
        <w:right w:val="none" w:sz="0" w:space="0" w:color="auto"/>
      </w:divBdr>
    </w:div>
    <w:div w:id="1313943670">
      <w:bodyDiv w:val="1"/>
      <w:marLeft w:val="0"/>
      <w:marRight w:val="0"/>
      <w:marTop w:val="0"/>
      <w:marBottom w:val="0"/>
      <w:divBdr>
        <w:top w:val="none" w:sz="0" w:space="0" w:color="auto"/>
        <w:left w:val="none" w:sz="0" w:space="0" w:color="auto"/>
        <w:bottom w:val="none" w:sz="0" w:space="0" w:color="auto"/>
        <w:right w:val="none" w:sz="0" w:space="0" w:color="auto"/>
      </w:divBdr>
    </w:div>
    <w:div w:id="1327975668">
      <w:bodyDiv w:val="1"/>
      <w:marLeft w:val="0"/>
      <w:marRight w:val="0"/>
      <w:marTop w:val="0"/>
      <w:marBottom w:val="0"/>
      <w:divBdr>
        <w:top w:val="none" w:sz="0" w:space="0" w:color="auto"/>
        <w:left w:val="none" w:sz="0" w:space="0" w:color="auto"/>
        <w:bottom w:val="none" w:sz="0" w:space="0" w:color="auto"/>
        <w:right w:val="none" w:sz="0" w:space="0" w:color="auto"/>
      </w:divBdr>
    </w:div>
    <w:div w:id="1330251831">
      <w:bodyDiv w:val="1"/>
      <w:marLeft w:val="0"/>
      <w:marRight w:val="0"/>
      <w:marTop w:val="0"/>
      <w:marBottom w:val="0"/>
      <w:divBdr>
        <w:top w:val="none" w:sz="0" w:space="0" w:color="auto"/>
        <w:left w:val="none" w:sz="0" w:space="0" w:color="auto"/>
        <w:bottom w:val="none" w:sz="0" w:space="0" w:color="auto"/>
        <w:right w:val="none" w:sz="0" w:space="0" w:color="auto"/>
      </w:divBdr>
    </w:div>
    <w:div w:id="1334142971">
      <w:bodyDiv w:val="1"/>
      <w:marLeft w:val="0"/>
      <w:marRight w:val="0"/>
      <w:marTop w:val="0"/>
      <w:marBottom w:val="0"/>
      <w:divBdr>
        <w:top w:val="none" w:sz="0" w:space="0" w:color="auto"/>
        <w:left w:val="none" w:sz="0" w:space="0" w:color="auto"/>
        <w:bottom w:val="none" w:sz="0" w:space="0" w:color="auto"/>
        <w:right w:val="none" w:sz="0" w:space="0" w:color="auto"/>
      </w:divBdr>
    </w:div>
    <w:div w:id="1354307206">
      <w:bodyDiv w:val="1"/>
      <w:marLeft w:val="0"/>
      <w:marRight w:val="0"/>
      <w:marTop w:val="0"/>
      <w:marBottom w:val="0"/>
      <w:divBdr>
        <w:top w:val="none" w:sz="0" w:space="0" w:color="auto"/>
        <w:left w:val="none" w:sz="0" w:space="0" w:color="auto"/>
        <w:bottom w:val="none" w:sz="0" w:space="0" w:color="auto"/>
        <w:right w:val="none" w:sz="0" w:space="0" w:color="auto"/>
      </w:divBdr>
    </w:div>
    <w:div w:id="1371805828">
      <w:bodyDiv w:val="1"/>
      <w:marLeft w:val="0"/>
      <w:marRight w:val="0"/>
      <w:marTop w:val="0"/>
      <w:marBottom w:val="0"/>
      <w:divBdr>
        <w:top w:val="none" w:sz="0" w:space="0" w:color="auto"/>
        <w:left w:val="none" w:sz="0" w:space="0" w:color="auto"/>
        <w:bottom w:val="none" w:sz="0" w:space="0" w:color="auto"/>
        <w:right w:val="none" w:sz="0" w:space="0" w:color="auto"/>
      </w:divBdr>
      <w:divsChild>
        <w:div w:id="88598950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401488796">
      <w:bodyDiv w:val="1"/>
      <w:marLeft w:val="0"/>
      <w:marRight w:val="0"/>
      <w:marTop w:val="0"/>
      <w:marBottom w:val="0"/>
      <w:divBdr>
        <w:top w:val="none" w:sz="0" w:space="0" w:color="auto"/>
        <w:left w:val="none" w:sz="0" w:space="0" w:color="auto"/>
        <w:bottom w:val="none" w:sz="0" w:space="0" w:color="auto"/>
        <w:right w:val="none" w:sz="0" w:space="0" w:color="auto"/>
      </w:divBdr>
    </w:div>
    <w:div w:id="1403680862">
      <w:bodyDiv w:val="1"/>
      <w:marLeft w:val="0"/>
      <w:marRight w:val="0"/>
      <w:marTop w:val="0"/>
      <w:marBottom w:val="0"/>
      <w:divBdr>
        <w:top w:val="none" w:sz="0" w:space="0" w:color="auto"/>
        <w:left w:val="none" w:sz="0" w:space="0" w:color="auto"/>
        <w:bottom w:val="none" w:sz="0" w:space="0" w:color="auto"/>
        <w:right w:val="none" w:sz="0" w:space="0" w:color="auto"/>
      </w:divBdr>
    </w:div>
    <w:div w:id="1446775067">
      <w:bodyDiv w:val="1"/>
      <w:marLeft w:val="0"/>
      <w:marRight w:val="0"/>
      <w:marTop w:val="0"/>
      <w:marBottom w:val="0"/>
      <w:divBdr>
        <w:top w:val="none" w:sz="0" w:space="0" w:color="auto"/>
        <w:left w:val="none" w:sz="0" w:space="0" w:color="auto"/>
        <w:bottom w:val="none" w:sz="0" w:space="0" w:color="auto"/>
        <w:right w:val="none" w:sz="0" w:space="0" w:color="auto"/>
      </w:divBdr>
    </w:div>
    <w:div w:id="1459496975">
      <w:bodyDiv w:val="1"/>
      <w:marLeft w:val="0"/>
      <w:marRight w:val="0"/>
      <w:marTop w:val="0"/>
      <w:marBottom w:val="0"/>
      <w:divBdr>
        <w:top w:val="none" w:sz="0" w:space="0" w:color="auto"/>
        <w:left w:val="none" w:sz="0" w:space="0" w:color="auto"/>
        <w:bottom w:val="none" w:sz="0" w:space="0" w:color="auto"/>
        <w:right w:val="none" w:sz="0" w:space="0" w:color="auto"/>
      </w:divBdr>
    </w:div>
    <w:div w:id="1463579600">
      <w:bodyDiv w:val="1"/>
      <w:marLeft w:val="0"/>
      <w:marRight w:val="0"/>
      <w:marTop w:val="0"/>
      <w:marBottom w:val="0"/>
      <w:divBdr>
        <w:top w:val="none" w:sz="0" w:space="0" w:color="auto"/>
        <w:left w:val="none" w:sz="0" w:space="0" w:color="auto"/>
        <w:bottom w:val="none" w:sz="0" w:space="0" w:color="auto"/>
        <w:right w:val="none" w:sz="0" w:space="0" w:color="auto"/>
      </w:divBdr>
    </w:div>
    <w:div w:id="1470585462">
      <w:bodyDiv w:val="1"/>
      <w:marLeft w:val="0"/>
      <w:marRight w:val="0"/>
      <w:marTop w:val="0"/>
      <w:marBottom w:val="0"/>
      <w:divBdr>
        <w:top w:val="none" w:sz="0" w:space="0" w:color="auto"/>
        <w:left w:val="none" w:sz="0" w:space="0" w:color="auto"/>
        <w:bottom w:val="none" w:sz="0" w:space="0" w:color="auto"/>
        <w:right w:val="none" w:sz="0" w:space="0" w:color="auto"/>
      </w:divBdr>
    </w:div>
    <w:div w:id="1481773790">
      <w:bodyDiv w:val="1"/>
      <w:marLeft w:val="0"/>
      <w:marRight w:val="0"/>
      <w:marTop w:val="0"/>
      <w:marBottom w:val="0"/>
      <w:divBdr>
        <w:top w:val="none" w:sz="0" w:space="0" w:color="auto"/>
        <w:left w:val="none" w:sz="0" w:space="0" w:color="auto"/>
        <w:bottom w:val="none" w:sz="0" w:space="0" w:color="auto"/>
        <w:right w:val="none" w:sz="0" w:space="0" w:color="auto"/>
      </w:divBdr>
    </w:div>
    <w:div w:id="1494835157">
      <w:bodyDiv w:val="1"/>
      <w:marLeft w:val="0"/>
      <w:marRight w:val="0"/>
      <w:marTop w:val="0"/>
      <w:marBottom w:val="0"/>
      <w:divBdr>
        <w:top w:val="none" w:sz="0" w:space="0" w:color="auto"/>
        <w:left w:val="none" w:sz="0" w:space="0" w:color="auto"/>
        <w:bottom w:val="none" w:sz="0" w:space="0" w:color="auto"/>
        <w:right w:val="none" w:sz="0" w:space="0" w:color="auto"/>
      </w:divBdr>
    </w:div>
    <w:div w:id="1514566788">
      <w:bodyDiv w:val="1"/>
      <w:marLeft w:val="0"/>
      <w:marRight w:val="0"/>
      <w:marTop w:val="0"/>
      <w:marBottom w:val="0"/>
      <w:divBdr>
        <w:top w:val="none" w:sz="0" w:space="0" w:color="auto"/>
        <w:left w:val="none" w:sz="0" w:space="0" w:color="auto"/>
        <w:bottom w:val="none" w:sz="0" w:space="0" w:color="auto"/>
        <w:right w:val="none" w:sz="0" w:space="0" w:color="auto"/>
      </w:divBdr>
    </w:div>
    <w:div w:id="1524392721">
      <w:bodyDiv w:val="1"/>
      <w:marLeft w:val="0"/>
      <w:marRight w:val="0"/>
      <w:marTop w:val="0"/>
      <w:marBottom w:val="0"/>
      <w:divBdr>
        <w:top w:val="none" w:sz="0" w:space="0" w:color="auto"/>
        <w:left w:val="none" w:sz="0" w:space="0" w:color="auto"/>
        <w:bottom w:val="none" w:sz="0" w:space="0" w:color="auto"/>
        <w:right w:val="none" w:sz="0" w:space="0" w:color="auto"/>
      </w:divBdr>
    </w:div>
    <w:div w:id="1551267400">
      <w:bodyDiv w:val="1"/>
      <w:marLeft w:val="0"/>
      <w:marRight w:val="0"/>
      <w:marTop w:val="0"/>
      <w:marBottom w:val="0"/>
      <w:divBdr>
        <w:top w:val="none" w:sz="0" w:space="0" w:color="auto"/>
        <w:left w:val="none" w:sz="0" w:space="0" w:color="auto"/>
        <w:bottom w:val="none" w:sz="0" w:space="0" w:color="auto"/>
        <w:right w:val="none" w:sz="0" w:space="0" w:color="auto"/>
      </w:divBdr>
    </w:div>
    <w:div w:id="1556694460">
      <w:bodyDiv w:val="1"/>
      <w:marLeft w:val="0"/>
      <w:marRight w:val="0"/>
      <w:marTop w:val="0"/>
      <w:marBottom w:val="0"/>
      <w:divBdr>
        <w:top w:val="none" w:sz="0" w:space="0" w:color="auto"/>
        <w:left w:val="none" w:sz="0" w:space="0" w:color="auto"/>
        <w:bottom w:val="none" w:sz="0" w:space="0" w:color="auto"/>
        <w:right w:val="none" w:sz="0" w:space="0" w:color="auto"/>
      </w:divBdr>
    </w:div>
    <w:div w:id="1561133764">
      <w:bodyDiv w:val="1"/>
      <w:marLeft w:val="0"/>
      <w:marRight w:val="0"/>
      <w:marTop w:val="0"/>
      <w:marBottom w:val="0"/>
      <w:divBdr>
        <w:top w:val="none" w:sz="0" w:space="0" w:color="auto"/>
        <w:left w:val="none" w:sz="0" w:space="0" w:color="auto"/>
        <w:bottom w:val="none" w:sz="0" w:space="0" w:color="auto"/>
        <w:right w:val="none" w:sz="0" w:space="0" w:color="auto"/>
      </w:divBdr>
    </w:div>
    <w:div w:id="1564759533">
      <w:bodyDiv w:val="1"/>
      <w:marLeft w:val="0"/>
      <w:marRight w:val="0"/>
      <w:marTop w:val="0"/>
      <w:marBottom w:val="0"/>
      <w:divBdr>
        <w:top w:val="none" w:sz="0" w:space="0" w:color="auto"/>
        <w:left w:val="none" w:sz="0" w:space="0" w:color="auto"/>
        <w:bottom w:val="none" w:sz="0" w:space="0" w:color="auto"/>
        <w:right w:val="none" w:sz="0" w:space="0" w:color="auto"/>
      </w:divBdr>
    </w:div>
    <w:div w:id="1608997768">
      <w:bodyDiv w:val="1"/>
      <w:marLeft w:val="0"/>
      <w:marRight w:val="0"/>
      <w:marTop w:val="0"/>
      <w:marBottom w:val="0"/>
      <w:divBdr>
        <w:top w:val="none" w:sz="0" w:space="0" w:color="auto"/>
        <w:left w:val="none" w:sz="0" w:space="0" w:color="auto"/>
        <w:bottom w:val="none" w:sz="0" w:space="0" w:color="auto"/>
        <w:right w:val="none" w:sz="0" w:space="0" w:color="auto"/>
      </w:divBdr>
    </w:div>
    <w:div w:id="1662733602">
      <w:bodyDiv w:val="1"/>
      <w:marLeft w:val="0"/>
      <w:marRight w:val="0"/>
      <w:marTop w:val="0"/>
      <w:marBottom w:val="0"/>
      <w:divBdr>
        <w:top w:val="none" w:sz="0" w:space="0" w:color="auto"/>
        <w:left w:val="none" w:sz="0" w:space="0" w:color="auto"/>
        <w:bottom w:val="none" w:sz="0" w:space="0" w:color="auto"/>
        <w:right w:val="none" w:sz="0" w:space="0" w:color="auto"/>
      </w:divBdr>
    </w:div>
    <w:div w:id="1668552067">
      <w:bodyDiv w:val="1"/>
      <w:marLeft w:val="0"/>
      <w:marRight w:val="0"/>
      <w:marTop w:val="0"/>
      <w:marBottom w:val="0"/>
      <w:divBdr>
        <w:top w:val="none" w:sz="0" w:space="0" w:color="auto"/>
        <w:left w:val="none" w:sz="0" w:space="0" w:color="auto"/>
        <w:bottom w:val="none" w:sz="0" w:space="0" w:color="auto"/>
        <w:right w:val="none" w:sz="0" w:space="0" w:color="auto"/>
      </w:divBdr>
    </w:div>
    <w:div w:id="1677532213">
      <w:bodyDiv w:val="1"/>
      <w:marLeft w:val="0"/>
      <w:marRight w:val="0"/>
      <w:marTop w:val="0"/>
      <w:marBottom w:val="0"/>
      <w:divBdr>
        <w:top w:val="none" w:sz="0" w:space="0" w:color="auto"/>
        <w:left w:val="none" w:sz="0" w:space="0" w:color="auto"/>
        <w:bottom w:val="none" w:sz="0" w:space="0" w:color="auto"/>
        <w:right w:val="none" w:sz="0" w:space="0" w:color="auto"/>
      </w:divBdr>
    </w:div>
    <w:div w:id="1679774686">
      <w:bodyDiv w:val="1"/>
      <w:marLeft w:val="0"/>
      <w:marRight w:val="0"/>
      <w:marTop w:val="0"/>
      <w:marBottom w:val="0"/>
      <w:divBdr>
        <w:top w:val="none" w:sz="0" w:space="0" w:color="auto"/>
        <w:left w:val="none" w:sz="0" w:space="0" w:color="auto"/>
        <w:bottom w:val="none" w:sz="0" w:space="0" w:color="auto"/>
        <w:right w:val="none" w:sz="0" w:space="0" w:color="auto"/>
      </w:divBdr>
    </w:div>
    <w:div w:id="1749424673">
      <w:bodyDiv w:val="1"/>
      <w:marLeft w:val="0"/>
      <w:marRight w:val="0"/>
      <w:marTop w:val="0"/>
      <w:marBottom w:val="0"/>
      <w:divBdr>
        <w:top w:val="none" w:sz="0" w:space="0" w:color="auto"/>
        <w:left w:val="none" w:sz="0" w:space="0" w:color="auto"/>
        <w:bottom w:val="none" w:sz="0" w:space="0" w:color="auto"/>
        <w:right w:val="none" w:sz="0" w:space="0" w:color="auto"/>
      </w:divBdr>
    </w:div>
    <w:div w:id="1751854566">
      <w:bodyDiv w:val="1"/>
      <w:marLeft w:val="0"/>
      <w:marRight w:val="0"/>
      <w:marTop w:val="0"/>
      <w:marBottom w:val="0"/>
      <w:divBdr>
        <w:top w:val="none" w:sz="0" w:space="0" w:color="auto"/>
        <w:left w:val="none" w:sz="0" w:space="0" w:color="auto"/>
        <w:bottom w:val="none" w:sz="0" w:space="0" w:color="auto"/>
        <w:right w:val="none" w:sz="0" w:space="0" w:color="auto"/>
      </w:divBdr>
    </w:div>
    <w:div w:id="1769110334">
      <w:bodyDiv w:val="1"/>
      <w:marLeft w:val="0"/>
      <w:marRight w:val="0"/>
      <w:marTop w:val="0"/>
      <w:marBottom w:val="0"/>
      <w:divBdr>
        <w:top w:val="none" w:sz="0" w:space="0" w:color="auto"/>
        <w:left w:val="none" w:sz="0" w:space="0" w:color="auto"/>
        <w:bottom w:val="none" w:sz="0" w:space="0" w:color="auto"/>
        <w:right w:val="none" w:sz="0" w:space="0" w:color="auto"/>
      </w:divBdr>
    </w:div>
    <w:div w:id="1830513997">
      <w:bodyDiv w:val="1"/>
      <w:marLeft w:val="0"/>
      <w:marRight w:val="0"/>
      <w:marTop w:val="0"/>
      <w:marBottom w:val="0"/>
      <w:divBdr>
        <w:top w:val="none" w:sz="0" w:space="0" w:color="auto"/>
        <w:left w:val="none" w:sz="0" w:space="0" w:color="auto"/>
        <w:bottom w:val="none" w:sz="0" w:space="0" w:color="auto"/>
        <w:right w:val="none" w:sz="0" w:space="0" w:color="auto"/>
      </w:divBdr>
    </w:div>
    <w:div w:id="1834946916">
      <w:bodyDiv w:val="1"/>
      <w:marLeft w:val="0"/>
      <w:marRight w:val="0"/>
      <w:marTop w:val="0"/>
      <w:marBottom w:val="0"/>
      <w:divBdr>
        <w:top w:val="none" w:sz="0" w:space="0" w:color="auto"/>
        <w:left w:val="none" w:sz="0" w:space="0" w:color="auto"/>
        <w:bottom w:val="none" w:sz="0" w:space="0" w:color="auto"/>
        <w:right w:val="none" w:sz="0" w:space="0" w:color="auto"/>
      </w:divBdr>
    </w:div>
    <w:div w:id="1886214020">
      <w:bodyDiv w:val="1"/>
      <w:marLeft w:val="0"/>
      <w:marRight w:val="0"/>
      <w:marTop w:val="0"/>
      <w:marBottom w:val="0"/>
      <w:divBdr>
        <w:top w:val="none" w:sz="0" w:space="0" w:color="auto"/>
        <w:left w:val="none" w:sz="0" w:space="0" w:color="auto"/>
        <w:bottom w:val="none" w:sz="0" w:space="0" w:color="auto"/>
        <w:right w:val="none" w:sz="0" w:space="0" w:color="auto"/>
      </w:divBdr>
    </w:div>
    <w:div w:id="1891307482">
      <w:bodyDiv w:val="1"/>
      <w:marLeft w:val="0"/>
      <w:marRight w:val="0"/>
      <w:marTop w:val="0"/>
      <w:marBottom w:val="0"/>
      <w:divBdr>
        <w:top w:val="none" w:sz="0" w:space="0" w:color="auto"/>
        <w:left w:val="none" w:sz="0" w:space="0" w:color="auto"/>
        <w:bottom w:val="none" w:sz="0" w:space="0" w:color="auto"/>
        <w:right w:val="none" w:sz="0" w:space="0" w:color="auto"/>
      </w:divBdr>
    </w:div>
    <w:div w:id="1894387783">
      <w:bodyDiv w:val="1"/>
      <w:marLeft w:val="0"/>
      <w:marRight w:val="0"/>
      <w:marTop w:val="0"/>
      <w:marBottom w:val="0"/>
      <w:divBdr>
        <w:top w:val="none" w:sz="0" w:space="0" w:color="auto"/>
        <w:left w:val="none" w:sz="0" w:space="0" w:color="auto"/>
        <w:bottom w:val="none" w:sz="0" w:space="0" w:color="auto"/>
        <w:right w:val="none" w:sz="0" w:space="0" w:color="auto"/>
      </w:divBdr>
    </w:div>
    <w:div w:id="1923567606">
      <w:bodyDiv w:val="1"/>
      <w:marLeft w:val="0"/>
      <w:marRight w:val="0"/>
      <w:marTop w:val="0"/>
      <w:marBottom w:val="0"/>
      <w:divBdr>
        <w:top w:val="none" w:sz="0" w:space="0" w:color="auto"/>
        <w:left w:val="none" w:sz="0" w:space="0" w:color="auto"/>
        <w:bottom w:val="none" w:sz="0" w:space="0" w:color="auto"/>
        <w:right w:val="none" w:sz="0" w:space="0" w:color="auto"/>
      </w:divBdr>
    </w:div>
    <w:div w:id="1926570280">
      <w:bodyDiv w:val="1"/>
      <w:marLeft w:val="0"/>
      <w:marRight w:val="0"/>
      <w:marTop w:val="0"/>
      <w:marBottom w:val="0"/>
      <w:divBdr>
        <w:top w:val="none" w:sz="0" w:space="0" w:color="auto"/>
        <w:left w:val="none" w:sz="0" w:space="0" w:color="auto"/>
        <w:bottom w:val="none" w:sz="0" w:space="0" w:color="auto"/>
        <w:right w:val="none" w:sz="0" w:space="0" w:color="auto"/>
      </w:divBdr>
    </w:div>
    <w:div w:id="1952085996">
      <w:bodyDiv w:val="1"/>
      <w:marLeft w:val="0"/>
      <w:marRight w:val="0"/>
      <w:marTop w:val="0"/>
      <w:marBottom w:val="0"/>
      <w:divBdr>
        <w:top w:val="none" w:sz="0" w:space="0" w:color="auto"/>
        <w:left w:val="none" w:sz="0" w:space="0" w:color="auto"/>
        <w:bottom w:val="none" w:sz="0" w:space="0" w:color="auto"/>
        <w:right w:val="none" w:sz="0" w:space="0" w:color="auto"/>
      </w:divBdr>
    </w:div>
    <w:div w:id="1956521840">
      <w:bodyDiv w:val="1"/>
      <w:marLeft w:val="0"/>
      <w:marRight w:val="0"/>
      <w:marTop w:val="0"/>
      <w:marBottom w:val="0"/>
      <w:divBdr>
        <w:top w:val="none" w:sz="0" w:space="0" w:color="auto"/>
        <w:left w:val="none" w:sz="0" w:space="0" w:color="auto"/>
        <w:bottom w:val="none" w:sz="0" w:space="0" w:color="auto"/>
        <w:right w:val="none" w:sz="0" w:space="0" w:color="auto"/>
      </w:divBdr>
    </w:div>
    <w:div w:id="2016372672">
      <w:bodyDiv w:val="1"/>
      <w:marLeft w:val="0"/>
      <w:marRight w:val="0"/>
      <w:marTop w:val="0"/>
      <w:marBottom w:val="0"/>
      <w:divBdr>
        <w:top w:val="none" w:sz="0" w:space="0" w:color="auto"/>
        <w:left w:val="none" w:sz="0" w:space="0" w:color="auto"/>
        <w:bottom w:val="none" w:sz="0" w:space="0" w:color="auto"/>
        <w:right w:val="none" w:sz="0" w:space="0" w:color="auto"/>
      </w:divBdr>
    </w:div>
    <w:div w:id="2019111308">
      <w:bodyDiv w:val="1"/>
      <w:marLeft w:val="0"/>
      <w:marRight w:val="0"/>
      <w:marTop w:val="0"/>
      <w:marBottom w:val="0"/>
      <w:divBdr>
        <w:top w:val="none" w:sz="0" w:space="0" w:color="auto"/>
        <w:left w:val="none" w:sz="0" w:space="0" w:color="auto"/>
        <w:bottom w:val="none" w:sz="0" w:space="0" w:color="auto"/>
        <w:right w:val="none" w:sz="0" w:space="0" w:color="auto"/>
      </w:divBdr>
    </w:div>
    <w:div w:id="2024934512">
      <w:bodyDiv w:val="1"/>
      <w:marLeft w:val="0"/>
      <w:marRight w:val="0"/>
      <w:marTop w:val="0"/>
      <w:marBottom w:val="0"/>
      <w:divBdr>
        <w:top w:val="none" w:sz="0" w:space="0" w:color="auto"/>
        <w:left w:val="none" w:sz="0" w:space="0" w:color="auto"/>
        <w:bottom w:val="none" w:sz="0" w:space="0" w:color="auto"/>
        <w:right w:val="none" w:sz="0" w:space="0" w:color="auto"/>
      </w:divBdr>
      <w:divsChild>
        <w:div w:id="79764573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34762945">
      <w:bodyDiv w:val="1"/>
      <w:marLeft w:val="0"/>
      <w:marRight w:val="0"/>
      <w:marTop w:val="0"/>
      <w:marBottom w:val="0"/>
      <w:divBdr>
        <w:top w:val="none" w:sz="0" w:space="0" w:color="auto"/>
        <w:left w:val="none" w:sz="0" w:space="0" w:color="auto"/>
        <w:bottom w:val="none" w:sz="0" w:space="0" w:color="auto"/>
        <w:right w:val="none" w:sz="0" w:space="0" w:color="auto"/>
      </w:divBdr>
    </w:div>
    <w:div w:id="2039043331">
      <w:bodyDiv w:val="1"/>
      <w:marLeft w:val="0"/>
      <w:marRight w:val="0"/>
      <w:marTop w:val="0"/>
      <w:marBottom w:val="0"/>
      <w:divBdr>
        <w:top w:val="none" w:sz="0" w:space="0" w:color="auto"/>
        <w:left w:val="none" w:sz="0" w:space="0" w:color="auto"/>
        <w:bottom w:val="none" w:sz="0" w:space="0" w:color="auto"/>
        <w:right w:val="none" w:sz="0" w:space="0" w:color="auto"/>
      </w:divBdr>
    </w:div>
    <w:div w:id="2040737774">
      <w:bodyDiv w:val="1"/>
      <w:marLeft w:val="0"/>
      <w:marRight w:val="0"/>
      <w:marTop w:val="0"/>
      <w:marBottom w:val="0"/>
      <w:divBdr>
        <w:top w:val="none" w:sz="0" w:space="0" w:color="auto"/>
        <w:left w:val="none" w:sz="0" w:space="0" w:color="auto"/>
        <w:bottom w:val="none" w:sz="0" w:space="0" w:color="auto"/>
        <w:right w:val="none" w:sz="0" w:space="0" w:color="auto"/>
      </w:divBdr>
    </w:div>
    <w:div w:id="2041318579">
      <w:bodyDiv w:val="1"/>
      <w:marLeft w:val="0"/>
      <w:marRight w:val="0"/>
      <w:marTop w:val="0"/>
      <w:marBottom w:val="0"/>
      <w:divBdr>
        <w:top w:val="none" w:sz="0" w:space="0" w:color="auto"/>
        <w:left w:val="none" w:sz="0" w:space="0" w:color="auto"/>
        <w:bottom w:val="none" w:sz="0" w:space="0" w:color="auto"/>
        <w:right w:val="none" w:sz="0" w:space="0" w:color="auto"/>
      </w:divBdr>
    </w:div>
    <w:div w:id="2077433584">
      <w:bodyDiv w:val="1"/>
      <w:marLeft w:val="0"/>
      <w:marRight w:val="0"/>
      <w:marTop w:val="0"/>
      <w:marBottom w:val="0"/>
      <w:divBdr>
        <w:top w:val="none" w:sz="0" w:space="0" w:color="auto"/>
        <w:left w:val="none" w:sz="0" w:space="0" w:color="auto"/>
        <w:bottom w:val="none" w:sz="0" w:space="0" w:color="auto"/>
        <w:right w:val="none" w:sz="0" w:space="0" w:color="auto"/>
      </w:divBdr>
    </w:div>
    <w:div w:id="2082562870">
      <w:bodyDiv w:val="1"/>
      <w:marLeft w:val="0"/>
      <w:marRight w:val="0"/>
      <w:marTop w:val="0"/>
      <w:marBottom w:val="0"/>
      <w:divBdr>
        <w:top w:val="none" w:sz="0" w:space="0" w:color="auto"/>
        <w:left w:val="none" w:sz="0" w:space="0" w:color="auto"/>
        <w:bottom w:val="none" w:sz="0" w:space="0" w:color="auto"/>
        <w:right w:val="none" w:sz="0" w:space="0" w:color="auto"/>
      </w:divBdr>
    </w:div>
    <w:div w:id="2102528180">
      <w:bodyDiv w:val="1"/>
      <w:marLeft w:val="0"/>
      <w:marRight w:val="0"/>
      <w:marTop w:val="0"/>
      <w:marBottom w:val="0"/>
      <w:divBdr>
        <w:top w:val="none" w:sz="0" w:space="0" w:color="auto"/>
        <w:left w:val="none" w:sz="0" w:space="0" w:color="auto"/>
        <w:bottom w:val="none" w:sz="0" w:space="0" w:color="auto"/>
        <w:right w:val="none" w:sz="0" w:space="0" w:color="auto"/>
      </w:divBdr>
    </w:div>
    <w:div w:id="2112578197">
      <w:bodyDiv w:val="1"/>
      <w:marLeft w:val="0"/>
      <w:marRight w:val="0"/>
      <w:marTop w:val="0"/>
      <w:marBottom w:val="0"/>
      <w:divBdr>
        <w:top w:val="none" w:sz="0" w:space="0" w:color="auto"/>
        <w:left w:val="none" w:sz="0" w:space="0" w:color="auto"/>
        <w:bottom w:val="none" w:sz="0" w:space="0" w:color="auto"/>
        <w:right w:val="none" w:sz="0" w:space="0" w:color="auto"/>
      </w:divBdr>
    </w:div>
    <w:div w:id="2113698649">
      <w:bodyDiv w:val="1"/>
      <w:marLeft w:val="0"/>
      <w:marRight w:val="0"/>
      <w:marTop w:val="0"/>
      <w:marBottom w:val="0"/>
      <w:divBdr>
        <w:top w:val="none" w:sz="0" w:space="0" w:color="auto"/>
        <w:left w:val="none" w:sz="0" w:space="0" w:color="auto"/>
        <w:bottom w:val="none" w:sz="0" w:space="0" w:color="auto"/>
        <w:right w:val="none" w:sz="0" w:space="0" w:color="auto"/>
      </w:divBdr>
    </w:div>
    <w:div w:id="2130466735">
      <w:bodyDiv w:val="1"/>
      <w:marLeft w:val="0"/>
      <w:marRight w:val="0"/>
      <w:marTop w:val="0"/>
      <w:marBottom w:val="0"/>
      <w:divBdr>
        <w:top w:val="none" w:sz="0" w:space="0" w:color="auto"/>
        <w:left w:val="none" w:sz="0" w:space="0" w:color="auto"/>
        <w:bottom w:val="none" w:sz="0" w:space="0" w:color="auto"/>
        <w:right w:val="none" w:sz="0" w:space="0" w:color="auto"/>
      </w:divBdr>
    </w:div>
    <w:div w:id="21438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i.org.in/Scripts/BS_ViewMasDirections.aspx?id=12163" TargetMode="External"/><Relationship Id="rId21" Type="http://schemas.openxmlformats.org/officeDocument/2006/relationships/hyperlink" Target="https://www.rbi.org.in/Scripts/NotificationUser.aspx?Id=11441&amp;Mode=0" TargetMode="External"/><Relationship Id="rId42" Type="http://schemas.openxmlformats.org/officeDocument/2006/relationships/hyperlink" Target="https://rbi.org.in/Scripts/BS_ViewMasDirections.aspx?id=11510" TargetMode="External"/><Relationship Id="rId63" Type="http://schemas.openxmlformats.org/officeDocument/2006/relationships/hyperlink" Target="https://m.rbi.org.in/scripts/FS_Notification.aspx?Id=12374&amp;fn=6&amp;Mode=0" TargetMode="External"/><Relationship Id="rId84" Type="http://schemas.openxmlformats.org/officeDocument/2006/relationships/hyperlink" Target="https://rbi.org.in/Scripts/BS_CircularIndexDisplay.aspx?Id=12382" TargetMode="External"/><Relationship Id="rId138" Type="http://schemas.openxmlformats.org/officeDocument/2006/relationships/hyperlink" Target="https://www.rbi.org.in/scripts/FS_Notification.aspx?Id=12401&amp;fn=2&amp;Mode=0" TargetMode="External"/><Relationship Id="rId159" Type="http://schemas.openxmlformats.org/officeDocument/2006/relationships/hyperlink" Target="https://m.rbi.org.in/Scripts/NotificationUser.aspx?Id=11601&amp;Mode=0" TargetMode="External"/><Relationship Id="rId170" Type="http://schemas.openxmlformats.org/officeDocument/2006/relationships/hyperlink" Target="https://m.rbi.org.in/scripts/FS_Notification.aspx?Id=12416&amp;fn=2755&amp;Mode=0" TargetMode="External"/><Relationship Id="rId191" Type="http://schemas.openxmlformats.org/officeDocument/2006/relationships/hyperlink" Target="https://m.rbi.org.in/scripts/BS_CircularIndexDisplay.aspx?Id=12425" TargetMode="External"/><Relationship Id="rId107" Type="http://schemas.openxmlformats.org/officeDocument/2006/relationships/hyperlink" Target="https://rbi.org.in/Scripts/BS_ViewMasDirections.aspx?id=11510" TargetMode="External"/><Relationship Id="rId11" Type="http://schemas.openxmlformats.org/officeDocument/2006/relationships/hyperlink" Target="https://www.rbi.org.in/Scripts/NotificationUser.aspx?Id=12348&amp;Mode=0" TargetMode="External"/><Relationship Id="rId32" Type="http://schemas.openxmlformats.org/officeDocument/2006/relationships/hyperlink" Target="https://www.rbi.org.in/scripts/NotificationUser.aspx?Id=12361&amp;Mode=0" TargetMode="External"/><Relationship Id="rId53" Type="http://schemas.openxmlformats.org/officeDocument/2006/relationships/hyperlink" Target="https://www.rbi.org.in/Scripts/BS_PressReleaseDisplay.aspx?prid=32614" TargetMode="External"/><Relationship Id="rId74" Type="http://schemas.openxmlformats.org/officeDocument/2006/relationships/hyperlink" Target="https://rbidocs.rbi.org.in/rdocs/content/pdfs/GazetteRules23082022.pdf" TargetMode="External"/><Relationship Id="rId128" Type="http://schemas.openxmlformats.org/officeDocument/2006/relationships/hyperlink" Target="https://m.rbi.org.in/Scripts/BS_CircularIndexDisplay.aspx?Id=12399" TargetMode="External"/><Relationship Id="rId149" Type="http://schemas.openxmlformats.org/officeDocument/2006/relationships/hyperlink" Target="https://www.rbi.org.in/Scripts/BS_ViewMasCirculardetails.aspx?id=12274" TargetMode="External"/><Relationship Id="rId5" Type="http://schemas.openxmlformats.org/officeDocument/2006/relationships/hyperlink" Target="https://www.rbi.org.in/Scripts/NotificationUser.aspx?Id=5671&amp;Mode=0" TargetMode="External"/><Relationship Id="rId95" Type="http://schemas.openxmlformats.org/officeDocument/2006/relationships/hyperlink" Target="https://rbi.org.in/Scripts/BS_ViewMasDirections.aspx?id=10296" TargetMode="External"/><Relationship Id="rId160" Type="http://schemas.openxmlformats.org/officeDocument/2006/relationships/hyperlink" Target="https://m.rbi.org.in/Scripts/NotificationUser.aspx?Id=11777&amp;Mode=0" TargetMode="External"/><Relationship Id="rId181" Type="http://schemas.openxmlformats.org/officeDocument/2006/relationships/hyperlink" Target="https://www.rbi.org.in/scripts/FS_Notification.aspx?Id=12422&amp;fn=2&amp;Mode=0" TargetMode="External"/><Relationship Id="rId22" Type="http://schemas.openxmlformats.org/officeDocument/2006/relationships/hyperlink" Target="https://www.rbi.org.in/Scripts/BS_ViewMasDirections.aspx?id=10485" TargetMode="External"/><Relationship Id="rId43" Type="http://schemas.openxmlformats.org/officeDocument/2006/relationships/hyperlink" Target="https://www.rbi.org.in/Scripts/BS_PressReleaseDisplay.aspx?prid=53979" TargetMode="External"/><Relationship Id="rId64" Type="http://schemas.openxmlformats.org/officeDocument/2006/relationships/hyperlink" Target="https://www.rbi.org.in/scripts/NotificationUser.aspx?Id=12375&amp;Mode=0" TargetMode="External"/><Relationship Id="rId118" Type="http://schemas.openxmlformats.org/officeDocument/2006/relationships/hyperlink" Target="https://www.rbi.org.in/Scripts/BS_ViewMasDirections.aspx?id=10567" TargetMode="External"/><Relationship Id="rId139" Type="http://schemas.openxmlformats.org/officeDocument/2006/relationships/hyperlink" Target="https://www.rbi.org.in/scripts/FS_Notification.aspx?Id=12401&amp;fn=2&amp;Mode=0" TargetMode="External"/><Relationship Id="rId85" Type="http://schemas.openxmlformats.org/officeDocument/2006/relationships/hyperlink" Target="https://www.rbi.org.in/Scripts/NotificationUser.aspx?Id=10233&amp;Mode=0" TargetMode="External"/><Relationship Id="rId150" Type="http://schemas.openxmlformats.org/officeDocument/2006/relationships/hyperlink" Target="https://www.rbi.org.in/Scripts/NotificationUser.aspx?Id=12408&amp;Mode=0" TargetMode="External"/><Relationship Id="rId171" Type="http://schemas.openxmlformats.org/officeDocument/2006/relationships/hyperlink" Target="https://m.rbi.org.in/scripts/FS_Notification.aspx?Id=12416&amp;fn=2755&amp;Mode=0" TargetMode="External"/><Relationship Id="rId192" Type="http://schemas.openxmlformats.org/officeDocument/2006/relationships/hyperlink" Target="https://rbi.org.in/Scripts/BS_ViewMasDirections.aspx?id=12158" TargetMode="External"/><Relationship Id="rId12" Type="http://schemas.openxmlformats.org/officeDocument/2006/relationships/hyperlink" Target="https://www.rbi.org.in/Scripts/NotificationUser.aspx?Id=12348&amp;Mode=0" TargetMode="External"/><Relationship Id="rId33" Type="http://schemas.openxmlformats.org/officeDocument/2006/relationships/hyperlink" Target="https://www.rbi.org.in/Scripts/NotificationUser.aspx?Id=11822&amp;Mode=0" TargetMode="External"/><Relationship Id="rId108" Type="http://schemas.openxmlformats.org/officeDocument/2006/relationships/hyperlink" Target="https://www.rbi.org.in/scripts/NotificationUser.aspx?Id=12393&amp;Mode=0" TargetMode="External"/><Relationship Id="rId129" Type="http://schemas.openxmlformats.org/officeDocument/2006/relationships/hyperlink" Target="https://m.rbi.org.in/Scripts/BS_CircularIndexDisplay.aspx?Id=12399" TargetMode="External"/><Relationship Id="rId54" Type="http://schemas.openxmlformats.org/officeDocument/2006/relationships/hyperlink" Target="https://www.rbi.org.in/Scripts/BS_PressReleaseDisplay.aspx?prid=48807" TargetMode="External"/><Relationship Id="rId75" Type="http://schemas.openxmlformats.org/officeDocument/2006/relationships/hyperlink" Target="https://www.rbi.org.in/scripts/NotificationUser.aspx?Id=12380&amp;Mode=0" TargetMode="External"/><Relationship Id="rId96" Type="http://schemas.openxmlformats.org/officeDocument/2006/relationships/hyperlink" Target="https://rbi.org.in/Scripts/BS_ViewMasDirections.aspx?id=10394" TargetMode="External"/><Relationship Id="rId140" Type="http://schemas.openxmlformats.org/officeDocument/2006/relationships/hyperlink" Target="https://www.rbi.org.in/scripts/FS_Notification.aspx?Id=12401&amp;fn=2&amp;Mode=0" TargetMode="External"/><Relationship Id="rId161" Type="http://schemas.openxmlformats.org/officeDocument/2006/relationships/hyperlink" Target="https://m.rbi.org.in/Scripts/NotificationUser.aspx?Id=11601&amp;Mode=0" TargetMode="External"/><Relationship Id="rId182" Type="http://schemas.openxmlformats.org/officeDocument/2006/relationships/hyperlink" Target="https://m.rbi.org.in/Scripts/BS_PressReleaseDisplay.aspx?prid=54819" TargetMode="External"/><Relationship Id="rId6" Type="http://schemas.openxmlformats.org/officeDocument/2006/relationships/hyperlink" Target="https://www.rbi.org.in/Scripts/NotificationUser.aspx?Id=12347&amp;Mode=0" TargetMode="External"/><Relationship Id="rId23" Type="http://schemas.openxmlformats.org/officeDocument/2006/relationships/hyperlink" Target="https://www.rbi.org.in/Scripts/BS_PressReleaseDisplay.aspx?prid=53979" TargetMode="External"/><Relationship Id="rId119" Type="http://schemas.openxmlformats.org/officeDocument/2006/relationships/hyperlink" Target="https://www.rbi.org.in/scripts/NotificationUser.aspx?Id=12397&amp;Mode=0" TargetMode="External"/><Relationship Id="rId44" Type="http://schemas.openxmlformats.org/officeDocument/2006/relationships/hyperlink" Target="https://rbidocs.rbi.org.in/rdocs/content/pdfs/GN3RFEMA01082022.pdf" TargetMode="External"/><Relationship Id="rId65" Type="http://schemas.openxmlformats.org/officeDocument/2006/relationships/hyperlink" Target="https://www.rbi.org.in/Scripts/NotificationUser.aspx?Id=12048&amp;Mode=0" TargetMode="External"/><Relationship Id="rId86" Type="http://schemas.openxmlformats.org/officeDocument/2006/relationships/hyperlink" Target="https://www.rbi.org.in/Scripts/NotificationUser.aspx?Id=11560&amp;Mode=0" TargetMode="External"/><Relationship Id="rId130" Type="http://schemas.openxmlformats.org/officeDocument/2006/relationships/hyperlink" Target="https://m.rbi.org.in/Scripts/BS_CircularIndexDisplay.aspx?Id=12399" TargetMode="External"/><Relationship Id="rId151" Type="http://schemas.openxmlformats.org/officeDocument/2006/relationships/hyperlink" Target="https://www.rbi.org.in/Scripts/NotificationUser.aspx?Id=12302&amp;Mode=0" TargetMode="External"/><Relationship Id="rId172" Type="http://schemas.openxmlformats.org/officeDocument/2006/relationships/hyperlink" Target="https://m.rbi.org.in/Scripts/NotificationUser.aspx?Id=4676&amp;Mode=0" TargetMode="External"/><Relationship Id="rId193" Type="http://schemas.openxmlformats.org/officeDocument/2006/relationships/hyperlink" Target="https://rbi.org.in/Scripts/BS_ViewMasDirections.aspx?id=12158" TargetMode="External"/><Relationship Id="rId13" Type="http://schemas.openxmlformats.org/officeDocument/2006/relationships/hyperlink" Target="https://www.rbi.org.in/Scripts/BS_ViewMasDirections.aspx?id=10296" TargetMode="External"/><Relationship Id="rId109" Type="http://schemas.openxmlformats.org/officeDocument/2006/relationships/hyperlink" Target="https://rbi.org.in/Scripts/BS_PressReleaseDisplay.aspx?prid=54149" TargetMode="External"/><Relationship Id="rId34" Type="http://schemas.openxmlformats.org/officeDocument/2006/relationships/hyperlink" Target="https://www.rbi.org.in/Scripts/NotificationUser.aspx?Id=12050&amp;Mode=0" TargetMode="External"/><Relationship Id="rId55" Type="http://schemas.openxmlformats.org/officeDocument/2006/relationships/hyperlink" Target="https://www.rbi.org.in/scripts/NotificationUser.aspx?Id=12373&amp;Mode=0" TargetMode="External"/><Relationship Id="rId76" Type="http://schemas.openxmlformats.org/officeDocument/2006/relationships/hyperlink" Target="https://rbidocs.rbi.org.in/rdocs/content/pdfs/GazetteRules23082022.pdf" TargetMode="External"/><Relationship Id="rId97" Type="http://schemas.openxmlformats.org/officeDocument/2006/relationships/hyperlink" Target="https://rbi.org.in/Scripts/BS_ViewMasDirections.aspx?id=10296" TargetMode="External"/><Relationship Id="rId120" Type="http://schemas.openxmlformats.org/officeDocument/2006/relationships/hyperlink" Target="https://m.rbi.org.in/Scripts/NotificationUser.aspx?Id=12397&amp;Mode=0" TargetMode="External"/><Relationship Id="rId141" Type="http://schemas.openxmlformats.org/officeDocument/2006/relationships/hyperlink" Target="https://rbi.org.in/Scripts/NotificationUser.aspx?Id=12402&amp;Mode=0" TargetMode="External"/><Relationship Id="rId7" Type="http://schemas.openxmlformats.org/officeDocument/2006/relationships/hyperlink" Target="https://www.rbi.org.in/Scripts/NotificationUser.aspx?Id=12347&amp;Mode=0" TargetMode="External"/><Relationship Id="rId162" Type="http://schemas.openxmlformats.org/officeDocument/2006/relationships/hyperlink" Target="https://m.rbi.org.in/scripts/FS_Notification.aspx?Id=12414&amp;fn=6&amp;Mode=0" TargetMode="External"/><Relationship Id="rId183" Type="http://schemas.openxmlformats.org/officeDocument/2006/relationships/hyperlink" Target="https://m.rbi.org.in/Scripts/BS_PressReleaseDisplay.aspx?prid=54818" TargetMode="External"/><Relationship Id="rId2" Type="http://schemas.openxmlformats.org/officeDocument/2006/relationships/styles" Target="styles.xml"/><Relationship Id="rId29" Type="http://schemas.openxmlformats.org/officeDocument/2006/relationships/hyperlink" Target="https://www.rbi.org.in/scripts/NotificationUser.aspx?Id=12360&amp;Mode=0" TargetMode="External"/><Relationship Id="rId24" Type="http://schemas.openxmlformats.org/officeDocument/2006/relationships/hyperlink" Target="https://www.rbi.org.in/Scripts/BS_ViewMasDirections.aspx?id=10485" TargetMode="External"/><Relationship Id="rId40" Type="http://schemas.openxmlformats.org/officeDocument/2006/relationships/hyperlink" Target="https://www.rbi.org.in/scripts/NotificationUser.aspx?Id=12365&amp;Mode=0" TargetMode="External"/><Relationship Id="rId45" Type="http://schemas.openxmlformats.org/officeDocument/2006/relationships/hyperlink" Target="https://www.rbi.org.in/Scripts/NotificationUser.aspx?Id=12366&amp;Mode=0" TargetMode="External"/><Relationship Id="rId66" Type="http://schemas.openxmlformats.org/officeDocument/2006/relationships/hyperlink" Target="https://www.rbi.org.in/Scripts/NotificationUser.aspx?Id=12262&amp;Mode=0" TargetMode="External"/><Relationship Id="rId87" Type="http://schemas.openxmlformats.org/officeDocument/2006/relationships/hyperlink" Target="https://www.rbi.org.in/scripts/NotificationUser.aspx?Id=12383&amp;Mode=0" TargetMode="External"/><Relationship Id="rId110" Type="http://schemas.openxmlformats.org/officeDocument/2006/relationships/hyperlink" Target="https://www.rbi.org.in/Scripts/NotificationUser.aspx?Id=12395&amp;Mode=0" TargetMode="External"/><Relationship Id="rId115" Type="http://schemas.openxmlformats.org/officeDocument/2006/relationships/hyperlink" Target="https://www.rbi.org.in/scripts/NotificationUser.aspx?Id=12397&amp;Mode=0" TargetMode="External"/><Relationship Id="rId131" Type="http://schemas.openxmlformats.org/officeDocument/2006/relationships/hyperlink" Target="https://www.rbi.org.in/Scripts/NotificationUser.aspx?Id=12179&amp;Mode=0" TargetMode="External"/><Relationship Id="rId136" Type="http://schemas.openxmlformats.org/officeDocument/2006/relationships/hyperlink" Target="https://www.rbi.org.in/Scripts/NotificationUser.aspx?Id=12400&amp;Mode=0" TargetMode="External"/><Relationship Id="rId157" Type="http://schemas.openxmlformats.org/officeDocument/2006/relationships/hyperlink" Target="https://www.rbi.org.in/Scripts/BS_PressReleaseDisplay.aspx?prid=53539" TargetMode="External"/><Relationship Id="rId178" Type="http://schemas.openxmlformats.org/officeDocument/2006/relationships/hyperlink" Target="https://rbi.org.in/Scripts/BS_PressReleaseDisplay.aspx?prid=54819" TargetMode="External"/><Relationship Id="rId61" Type="http://schemas.openxmlformats.org/officeDocument/2006/relationships/hyperlink" Target="https://m.rbi.org.in/Scripts/NotificationUser.aspx?Id=12229&amp;Mode=0" TargetMode="External"/><Relationship Id="rId82" Type="http://schemas.openxmlformats.org/officeDocument/2006/relationships/hyperlink" Target="https://rbi.org.in/Scripts/BS_CircularIndexDisplay.aspx?Id=12382" TargetMode="External"/><Relationship Id="rId152" Type="http://schemas.openxmlformats.org/officeDocument/2006/relationships/hyperlink" Target="https://www.rbi.org.in/scripts/NotificationUser.aspx?Id=12411&amp;Mode=0" TargetMode="External"/><Relationship Id="rId173" Type="http://schemas.openxmlformats.org/officeDocument/2006/relationships/hyperlink" Target="https://m.rbi.org.in/Scripts/NotificationUser.aspx?Id=8874&amp;Mode=0" TargetMode="External"/><Relationship Id="rId194" Type="http://schemas.openxmlformats.org/officeDocument/2006/relationships/hyperlink" Target="https://rbi.org.in/Scripts/NotificationUser.aspx?Id=12426&amp;Mode=0" TargetMode="External"/><Relationship Id="rId199" Type="http://schemas.openxmlformats.org/officeDocument/2006/relationships/hyperlink" Target="https://rbi.org.in/Scripts/NotificationUser.aspx?Id=12416&amp;Mode=0" TargetMode="External"/><Relationship Id="rId203" Type="http://schemas.openxmlformats.org/officeDocument/2006/relationships/theme" Target="theme/theme1.xml"/><Relationship Id="rId19" Type="http://schemas.openxmlformats.org/officeDocument/2006/relationships/hyperlink" Target="https://www.rbi.org.in/Scripts/NotificationUser.aspx?Id=11303&amp;Mode=0" TargetMode="External"/><Relationship Id="rId14" Type="http://schemas.openxmlformats.org/officeDocument/2006/relationships/hyperlink" Target="https://rbi.org.in/Scripts/BS_ViewMasDirections.aspx?id=10394" TargetMode="External"/><Relationship Id="rId30" Type="http://schemas.openxmlformats.org/officeDocument/2006/relationships/hyperlink" Target="https://www.rbi.org.in/scripts/NotificationUser.aspx?Id=12360&amp;Mode=0" TargetMode="External"/><Relationship Id="rId35" Type="http://schemas.openxmlformats.org/officeDocument/2006/relationships/hyperlink" Target="https://www.rbi.org.in/Scripts/NotificationUser.aspx?Id=12159&amp;Mode=0" TargetMode="External"/><Relationship Id="rId56" Type="http://schemas.openxmlformats.org/officeDocument/2006/relationships/hyperlink" Target="https://www.rbi.org.in/scripts/NotificationUser.aspx?Id=12373&amp;Mode=0" TargetMode="External"/><Relationship Id="rId77" Type="http://schemas.openxmlformats.org/officeDocument/2006/relationships/hyperlink" Target="https://rbi.org.in/Scripts/NotificationUser.aspx?Id=12380&amp;Mode=0" TargetMode="External"/><Relationship Id="rId100" Type="http://schemas.openxmlformats.org/officeDocument/2006/relationships/hyperlink" Target="https://rbi.org.in/Scripts/NotificationUser.aspx?Id=12388&amp;Mode=0" TargetMode="External"/><Relationship Id="rId105" Type="http://schemas.openxmlformats.org/officeDocument/2006/relationships/hyperlink" Target="https://rbi.org.in/Scripts/NotificationUser.aspx?Id=12389&amp;Mode=0" TargetMode="External"/><Relationship Id="rId126" Type="http://schemas.openxmlformats.org/officeDocument/2006/relationships/hyperlink" Target="https://m.rbi.org.in/Scripts/BS_PressReleaseDisplay.aspx?prid=51382" TargetMode="External"/><Relationship Id="rId147" Type="http://schemas.openxmlformats.org/officeDocument/2006/relationships/hyperlink" Target="https://www.rbi.org.in/scripts/FS_Notification.aspx?Id=12407&amp;fn=2&amp;Mode=0" TargetMode="External"/><Relationship Id="rId168" Type="http://schemas.openxmlformats.org/officeDocument/2006/relationships/hyperlink" Target="https://m.rbi.org.in/Scripts/BS_PressReleaseDisplay.aspx?prid=52094" TargetMode="External"/><Relationship Id="rId8" Type="http://schemas.openxmlformats.org/officeDocument/2006/relationships/hyperlink" Target="https://www.rbi.org.in/Scripts/BS_ViewMasDirections.aspx?id=12156" TargetMode="External"/><Relationship Id="rId51" Type="http://schemas.openxmlformats.org/officeDocument/2006/relationships/hyperlink" Target="https://rbidocs.rbi.org.in/rdocs/content/pdfs/RBIOS2021_amendments05082022.pdf" TargetMode="External"/><Relationship Id="rId72" Type="http://schemas.openxmlformats.org/officeDocument/2006/relationships/hyperlink" Target="https://rbidocs.rbi.org.in/rdocs/content/pdfs/GazetteRegulations230822.pdf" TargetMode="External"/><Relationship Id="rId93" Type="http://schemas.openxmlformats.org/officeDocument/2006/relationships/hyperlink" Target="https://rbi.org.in/Scripts/NotificationUser.aspx?Id=8832&amp;Mode=0" TargetMode="External"/><Relationship Id="rId98" Type="http://schemas.openxmlformats.org/officeDocument/2006/relationships/hyperlink" Target="https://rbi.org.in/Scripts/BS_ViewMasDirections.aspx?id=10394" TargetMode="External"/><Relationship Id="rId121" Type="http://schemas.openxmlformats.org/officeDocument/2006/relationships/hyperlink" Target="https://m.rbi.org.in/Scripts/BS_ViewMasCirculardetails.aspx?id=12278" TargetMode="External"/><Relationship Id="rId142" Type="http://schemas.openxmlformats.org/officeDocument/2006/relationships/hyperlink" Target="https://rbi.org.in/Scripts/NotificationUser.aspx?Id=12402&amp;Mode=0" TargetMode="External"/><Relationship Id="rId163" Type="http://schemas.openxmlformats.org/officeDocument/2006/relationships/hyperlink" Target="https://rbi.org.in/Scripts/NotificationUser.aspx?Id=9526&amp;Mode=0" TargetMode="External"/><Relationship Id="rId184" Type="http://schemas.openxmlformats.org/officeDocument/2006/relationships/hyperlink" Target="https://m.rbi.org.in/Scripts/NotificationUser.aspx?Id=11226&amp;Mode=0" TargetMode="External"/><Relationship Id="rId189" Type="http://schemas.openxmlformats.org/officeDocument/2006/relationships/hyperlink" Target="https://www.rbi.org.in/Scripts/BS_ViewMasDirections.aspx?id=12427" TargetMode="External"/><Relationship Id="rId3" Type="http://schemas.openxmlformats.org/officeDocument/2006/relationships/settings" Target="settings.xml"/><Relationship Id="rId25" Type="http://schemas.openxmlformats.org/officeDocument/2006/relationships/hyperlink" Target="https://rbi.org.in/Scripts/BS_ViewMasDirections.aspx?id=11510" TargetMode="External"/><Relationship Id="rId46" Type="http://schemas.openxmlformats.org/officeDocument/2006/relationships/hyperlink" Target="https://m.rbi.org.in/scripts/BS_ViewMasCirculardetails.aspx?id=12367" TargetMode="External"/><Relationship Id="rId67" Type="http://schemas.openxmlformats.org/officeDocument/2006/relationships/hyperlink" Target="https://www.rbi.org.in/Scripts/NotificationUser.aspx?Id=12376&amp;Mode=0" TargetMode="External"/><Relationship Id="rId116" Type="http://schemas.openxmlformats.org/officeDocument/2006/relationships/hyperlink" Target="https://www.rbi.org.in/Scripts/NotificationUser.aspx?Id=11347&amp;Mode=0" TargetMode="External"/><Relationship Id="rId137" Type="http://schemas.openxmlformats.org/officeDocument/2006/relationships/hyperlink" Target="https://www.rbi.org.in/Scripts/BS_ViewMasDirections.aspx?id=12158" TargetMode="External"/><Relationship Id="rId158" Type="http://schemas.openxmlformats.org/officeDocument/2006/relationships/hyperlink" Target="https://www.rbi.org.in/scripts/NotificationUser.aspx?Id=12413&amp;Mode=0" TargetMode="External"/><Relationship Id="rId20" Type="http://schemas.openxmlformats.org/officeDocument/2006/relationships/hyperlink" Target="https://rbi.org.in/scripts/FS_Notification.aspx?Id=12355&amp;fn=6&amp;Mode=0" TargetMode="External"/><Relationship Id="rId41" Type="http://schemas.openxmlformats.org/officeDocument/2006/relationships/hyperlink" Target="https://www.rbi.org.in/scripts/NotificationUser.aspx?Id=12365&amp;Mode=0" TargetMode="External"/><Relationship Id="rId62" Type="http://schemas.openxmlformats.org/officeDocument/2006/relationships/hyperlink" Target="https://m.rbi.org.in/Scripts/NotificationUser.aspx?Id=11602&amp;Mode=0" TargetMode="External"/><Relationship Id="rId83" Type="http://schemas.openxmlformats.org/officeDocument/2006/relationships/hyperlink" Target="https://rbi.org.in/Scripts/BS_CircularIndexDisplay.aspx?Id=12382" TargetMode="External"/><Relationship Id="rId88" Type="http://schemas.openxmlformats.org/officeDocument/2006/relationships/hyperlink" Target="https://m.rbi.org.in/Scripts/BS_ViewMasCirculardetails.aspx?id=12278" TargetMode="External"/><Relationship Id="rId111" Type="http://schemas.openxmlformats.org/officeDocument/2006/relationships/hyperlink" Target="https://www.rbi.org.in/Scripts/NotificationUser.aspx?Id=12395&amp;Mode=0" TargetMode="External"/><Relationship Id="rId132" Type="http://schemas.openxmlformats.org/officeDocument/2006/relationships/hyperlink" Target="https://www.rbi.org.in/Scripts/BS_ViewMasDirections.aspx?id=10586" TargetMode="External"/><Relationship Id="rId153" Type="http://schemas.openxmlformats.org/officeDocument/2006/relationships/hyperlink" Target="https://www.rbi.org.in/Scripts/BS_ViewMasDirections.aspx?id=10598" TargetMode="External"/><Relationship Id="rId174" Type="http://schemas.openxmlformats.org/officeDocument/2006/relationships/hyperlink" Target="https://m.rbi.org.in/scripts/FS_Notification.aspx?Id=12417&amp;fn=14&amp;Mode=0" TargetMode="External"/><Relationship Id="rId179" Type="http://schemas.openxmlformats.org/officeDocument/2006/relationships/hyperlink" Target="https://rbi.org.in/Scripts/BS_PressReleaseDisplay.aspx?prid=54818" TargetMode="External"/><Relationship Id="rId195" Type="http://schemas.openxmlformats.org/officeDocument/2006/relationships/hyperlink" Target="https://m.rbi.org.in/Scripts/BS_PressReleaseDisplay.aspx?prid=47819" TargetMode="External"/><Relationship Id="rId190" Type="http://schemas.openxmlformats.org/officeDocument/2006/relationships/hyperlink" Target="https://m.rbi.org.in/Scripts/NotificationUser.aspx?Id=8968&amp;Mode=0" TargetMode="External"/><Relationship Id="rId15" Type="http://schemas.openxmlformats.org/officeDocument/2006/relationships/hyperlink" Target="https://rbi.org.in/Scripts/NotificationUser.aspx?Id=12350&amp;Mode=0" TargetMode="External"/><Relationship Id="rId36" Type="http://schemas.openxmlformats.org/officeDocument/2006/relationships/hyperlink" Target="https://www.rbi.org.in/Scripts/NotificationUser.aspx?Id=12211&amp;Mode=0" TargetMode="External"/><Relationship Id="rId57" Type="http://schemas.openxmlformats.org/officeDocument/2006/relationships/hyperlink" Target="https://www.rbi.org.in/scripts/NotificationUser.aspx?Id=12373&amp;Mode=0" TargetMode="External"/><Relationship Id="rId106" Type="http://schemas.openxmlformats.org/officeDocument/2006/relationships/hyperlink" Target="https://www.rbi.org.in/Scripts/BS_ViewMasDirections.aspx?id=10202" TargetMode="External"/><Relationship Id="rId127" Type="http://schemas.openxmlformats.org/officeDocument/2006/relationships/hyperlink" Target="https://m.rbi.org.in/Scripts/BS_PressReleaseDisplay.aspx?prid=51381" TargetMode="External"/><Relationship Id="rId10" Type="http://schemas.openxmlformats.org/officeDocument/2006/relationships/hyperlink" Target="https://www.rbi.org.in/Scripts/NotificationUser.aspx?Id=7286&amp;Mode=0" TargetMode="External"/><Relationship Id="rId31" Type="http://schemas.openxmlformats.org/officeDocument/2006/relationships/hyperlink" Target="https://www.rbi.org.in/Scripts/BS_ViewMasCirculardetails.aspx?id=12288" TargetMode="External"/><Relationship Id="rId52" Type="http://schemas.openxmlformats.org/officeDocument/2006/relationships/hyperlink" Target="https://www.rbi.org.in/Scripts/NotificationUser.aspx?Id=12371&amp;Mode=0" TargetMode="External"/><Relationship Id="rId73" Type="http://schemas.openxmlformats.org/officeDocument/2006/relationships/hyperlink" Target="https://rbidocs.rbi.org.in/rdocs/content/pdfs/GazetteRules23082022.pdf" TargetMode="External"/><Relationship Id="rId78" Type="http://schemas.openxmlformats.org/officeDocument/2006/relationships/hyperlink" Target="https://rbi.org.in/Scripts/NotificationUser.aspx?Id=2126&amp;Mode=0" TargetMode="External"/><Relationship Id="rId94" Type="http://schemas.openxmlformats.org/officeDocument/2006/relationships/hyperlink" Target="https://www.rbi.org.in/scripts/NotificationUser.aspx?Id=12386&amp;Mode=0" TargetMode="External"/><Relationship Id="rId99" Type="http://schemas.openxmlformats.org/officeDocument/2006/relationships/hyperlink" Target="https://rbi.org.in/Scripts/NotificationUser.aspx?Id=12388&amp;Mode=0" TargetMode="External"/><Relationship Id="rId101" Type="http://schemas.openxmlformats.org/officeDocument/2006/relationships/hyperlink" Target="https://rbi.org.in/Scripts/NotificationUser.aspx?Id=12389&amp;Mode=0" TargetMode="External"/><Relationship Id="rId122" Type="http://schemas.openxmlformats.org/officeDocument/2006/relationships/hyperlink" Target="https://m.rbi.org.in/Scripts/BS_ViewMasDirections.aspx?id=10567" TargetMode="External"/><Relationship Id="rId143" Type="http://schemas.openxmlformats.org/officeDocument/2006/relationships/hyperlink" Target="https://rbi.org.in/Scripts/NotificationUser.aspx?Id=12402&amp;Mode=0" TargetMode="External"/><Relationship Id="rId148" Type="http://schemas.openxmlformats.org/officeDocument/2006/relationships/hyperlink" Target="https://www.rbi.org.in/scripts/FS_Notification.aspx?Id=12407&amp;fn=2&amp;Mode=0" TargetMode="External"/><Relationship Id="rId164" Type="http://schemas.openxmlformats.org/officeDocument/2006/relationships/hyperlink" Target="https://www.rbi.org.in/Scripts/BS_PressReleaseDisplay.aspx?prid=54059" TargetMode="External"/><Relationship Id="rId169" Type="http://schemas.openxmlformats.org/officeDocument/2006/relationships/hyperlink" Target="https://m.rbi.org.in/Scripts/BS_PressReleaseDisplay.aspx?prid=54059" TargetMode="External"/><Relationship Id="rId185" Type="http://schemas.openxmlformats.org/officeDocument/2006/relationships/hyperlink" Target="https://m.rbi.org.in/Scripts/NotificationUser.aspx?Id=12428&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1822&amp;Mode=0" TargetMode="External"/><Relationship Id="rId180" Type="http://schemas.openxmlformats.org/officeDocument/2006/relationships/hyperlink" Target="https://rbi.org.in/Scripts/NotificationUser.aspx?Id=12153&amp;Mode=0" TargetMode="External"/><Relationship Id="rId26" Type="http://schemas.openxmlformats.org/officeDocument/2006/relationships/hyperlink" Target="https://www.rbi.org.in/scripts/NotificationUser.aspx?Id=12356&amp;Mode=0" TargetMode="External"/><Relationship Id="rId47" Type="http://schemas.openxmlformats.org/officeDocument/2006/relationships/hyperlink" Target="https://m.rbi.org.in/scripts/BS_ViewMasCirculardetails.aspx?id=12367" TargetMode="External"/><Relationship Id="rId68" Type="http://schemas.openxmlformats.org/officeDocument/2006/relationships/hyperlink" Target="https://rbi.org.in/scripts/FS_Notification.aspx?Id=12378&amp;fn=2&amp;Mode=0" TargetMode="External"/><Relationship Id="rId89" Type="http://schemas.openxmlformats.org/officeDocument/2006/relationships/hyperlink" Target="https://m.rbi.org.in/Scripts/BS_ViewMasCirculardetails.aspx?id=12278" TargetMode="External"/><Relationship Id="rId112" Type="http://schemas.openxmlformats.org/officeDocument/2006/relationships/hyperlink" Target="https://www.rbi.org.in/Scripts/BS_ViewMasCirculardetails.aspx?id=12278" TargetMode="External"/><Relationship Id="rId133" Type="http://schemas.openxmlformats.org/officeDocument/2006/relationships/hyperlink" Target="https://www.rbi.org.in/Scripts/NotificationUser.aspx?Id=12400&amp;Mode=0" TargetMode="External"/><Relationship Id="rId154" Type="http://schemas.openxmlformats.org/officeDocument/2006/relationships/hyperlink" Target="https://www.rbi.org.in/scripts/NotificationUser.aspx?Id=12412&amp;Mode=0" TargetMode="External"/><Relationship Id="rId175" Type="http://schemas.openxmlformats.org/officeDocument/2006/relationships/hyperlink" Target="https://m.rbi.org.in/Scripts/BS_PressReleaseDisplay.aspx?prid=54059" TargetMode="External"/><Relationship Id="rId196" Type="http://schemas.openxmlformats.org/officeDocument/2006/relationships/hyperlink" Target="https://prism.rbi.org.in/DAKSH/portal/" TargetMode="External"/><Relationship Id="rId200" Type="http://schemas.openxmlformats.org/officeDocument/2006/relationships/hyperlink" Target="https://rbi.org.in/Scripts/NotificationUser.aspx?Id=12336&amp;Mode=0" TargetMode="External"/><Relationship Id="rId16" Type="http://schemas.openxmlformats.org/officeDocument/2006/relationships/hyperlink" Target="https://www.rbi.org.in/scripts/NotificationUser.aspx?Id=12351&amp;Mode=0" TargetMode="External"/><Relationship Id="rId37" Type="http://schemas.openxmlformats.org/officeDocument/2006/relationships/hyperlink" Target="https://www.rbi.org.in/Scripts/NotificationUser.aspx?Id=12345&amp;Mode=0" TargetMode="External"/><Relationship Id="rId58" Type="http://schemas.openxmlformats.org/officeDocument/2006/relationships/hyperlink" Target="https://m.rbi.org.in/Scripts/BS_PressReleaseDisplay.aspx?prid=54149" TargetMode="External"/><Relationship Id="rId79" Type="http://schemas.openxmlformats.org/officeDocument/2006/relationships/hyperlink" Target="https://rbi.org.in/Scripts/NotificationUser.aspx?Id=10257&amp;Mode=0" TargetMode="External"/><Relationship Id="rId102" Type="http://schemas.openxmlformats.org/officeDocument/2006/relationships/hyperlink" Target="https://rbi.org.in/Scripts/NotificationUser.aspx?Id=12389&amp;Mode=0" TargetMode="External"/><Relationship Id="rId123" Type="http://schemas.openxmlformats.org/officeDocument/2006/relationships/hyperlink" Target="https://m.rbi.org.in/Scripts/BS_ViewMasDirections.aspx?id=10485" TargetMode="External"/><Relationship Id="rId144" Type="http://schemas.openxmlformats.org/officeDocument/2006/relationships/hyperlink" Target="https://www.rbi.org.in/Scripts/BS_ViewMasDirections.aspx?id=12131" TargetMode="External"/><Relationship Id="rId90" Type="http://schemas.openxmlformats.org/officeDocument/2006/relationships/hyperlink" Target="https://m.rbi.org.in/scripts/FS_Notification.aspx?Id=12384&amp;fn=2&amp;Mode=0" TargetMode="External"/><Relationship Id="rId165" Type="http://schemas.openxmlformats.org/officeDocument/2006/relationships/hyperlink" Target="https://www.rbi.org.in/Scripts/BS_PressReleaseDisplay.aspx?prid=52094" TargetMode="External"/><Relationship Id="rId186" Type="http://schemas.openxmlformats.org/officeDocument/2006/relationships/hyperlink" Target="https://m.rbi.org.in/scripts/FS_Notification.aspx?Id=12423&amp;fn=6&amp;Mode=0" TargetMode="External"/><Relationship Id="rId27" Type="http://schemas.openxmlformats.org/officeDocument/2006/relationships/hyperlink" Target="https://rbi.org.in/Scripts/NotificationUser.aspx?Id=12358&amp;Mode=0" TargetMode="External"/><Relationship Id="rId48" Type="http://schemas.openxmlformats.org/officeDocument/2006/relationships/hyperlink" Target="https://www.rbi.org.in/Scripts/BS_ViewMasDirections.aspx?id=10084" TargetMode="External"/><Relationship Id="rId69" Type="http://schemas.openxmlformats.org/officeDocument/2006/relationships/hyperlink" Target="https://rbi.org.in/scripts/FS_Notification.aspx?Id=12378&amp;fn=2&amp;Mode=0" TargetMode="External"/><Relationship Id="rId113" Type="http://schemas.openxmlformats.org/officeDocument/2006/relationships/hyperlink" Target="https://www.rbi.org.in/Scripts/NotificationUser.aspx?Id=12396&amp;Mode=0" TargetMode="External"/><Relationship Id="rId134" Type="http://schemas.openxmlformats.org/officeDocument/2006/relationships/hyperlink" Target="https://www.rbi.org.in/Scripts/NotificationUser.aspx?Id=12400&amp;Mode=0" TargetMode="External"/><Relationship Id="rId80" Type="http://schemas.openxmlformats.org/officeDocument/2006/relationships/hyperlink" Target="https://www.rbi.org.in/scripts/NotificationUser.aspx?Id=12381&amp;Mode=0" TargetMode="External"/><Relationship Id="rId155" Type="http://schemas.openxmlformats.org/officeDocument/2006/relationships/hyperlink" Target="https://www.rbi.org.in/scripts/NotificationUser.aspx?Id=12412&amp;Mode=0" TargetMode="External"/><Relationship Id="rId176" Type="http://schemas.openxmlformats.org/officeDocument/2006/relationships/hyperlink" Target="https://m.rbi.org.in/Scripts/NotificationUser.aspx?Id=12416&amp;Mode=0" TargetMode="External"/><Relationship Id="rId197" Type="http://schemas.openxmlformats.org/officeDocument/2006/relationships/hyperlink" Target="https://m.rbi.org.in/scripts/FS_Notification.aspx?Id=12431&amp;fn=9&amp;Mode=0" TargetMode="External"/><Relationship Id="rId201" Type="http://schemas.openxmlformats.org/officeDocument/2006/relationships/hyperlink" Target="https://www.rbi.org.in/Scripts/BS_CircularIndexDisplay.aspx?Id=12432" TargetMode="External"/><Relationship Id="rId17" Type="http://schemas.openxmlformats.org/officeDocument/2006/relationships/hyperlink" Target="https://www.rbi.org.in/Scripts/BS_PressReleaseDisplay.aspx?prid=53979" TargetMode="External"/><Relationship Id="rId38" Type="http://schemas.openxmlformats.org/officeDocument/2006/relationships/hyperlink" Target="https://www.rbi.org.in/scripts/BS_CircularIndexDisplay.aspx?Id=12363" TargetMode="External"/><Relationship Id="rId59" Type="http://schemas.openxmlformats.org/officeDocument/2006/relationships/hyperlink" Target="https://m.rbi.org.in/Scripts/BS_PressReleaseDisplay.aspx?prid=54148" TargetMode="External"/><Relationship Id="rId103" Type="http://schemas.openxmlformats.org/officeDocument/2006/relationships/hyperlink" Target="https://rbi.org.in/Scripts/NotificationUser.aspx?Id=12389&amp;Mode=0" TargetMode="External"/><Relationship Id="rId124" Type="http://schemas.openxmlformats.org/officeDocument/2006/relationships/hyperlink" Target="https://m.rbi.org.in/Scripts/BS_ViewMasDirections.aspx?id=10567" TargetMode="External"/><Relationship Id="rId70" Type="http://schemas.openxmlformats.org/officeDocument/2006/relationships/hyperlink" Target="https://www.rbi.org.in/Scripts/BS_ViewMasDirections.aspx?id=12256" TargetMode="External"/><Relationship Id="rId91" Type="http://schemas.openxmlformats.org/officeDocument/2006/relationships/hyperlink" Target="https://www.rbi.org.in/Scripts/NotificationUser.aspx?Id=8832&amp;Mode=0" TargetMode="External"/><Relationship Id="rId145" Type="http://schemas.openxmlformats.org/officeDocument/2006/relationships/hyperlink" Target="https://www.rbi.org.in/scripts/FS_Notification.aspx?Id=12403&amp;fn=2&amp;Mode=0" TargetMode="External"/><Relationship Id="rId166" Type="http://schemas.openxmlformats.org/officeDocument/2006/relationships/hyperlink" Target="https://www.rbi.org.in/Scripts/NotificationUser.aspx?Id=12415&amp;Mode=0" TargetMode="External"/><Relationship Id="rId187" Type="http://schemas.openxmlformats.org/officeDocument/2006/relationships/hyperlink" Target="https://rbi.org.in/Scripts/NotificationUser.aspx?Id=179&amp;Mode=0" TargetMode="External"/><Relationship Id="rId1" Type="http://schemas.openxmlformats.org/officeDocument/2006/relationships/numbering" Target="numbering.xml"/><Relationship Id="rId28" Type="http://schemas.openxmlformats.org/officeDocument/2006/relationships/hyperlink" Target="https://www.rbi.org.in/Scripts/BS_ViewMasCirculardetails.aspx?id=12062" TargetMode="External"/><Relationship Id="rId49" Type="http://schemas.openxmlformats.org/officeDocument/2006/relationships/hyperlink" Target="https://www.rbi.org.in/scripts/NotificationUser.aspx?Id=12368&amp;Mode=0" TargetMode="External"/><Relationship Id="rId114" Type="http://schemas.openxmlformats.org/officeDocument/2006/relationships/hyperlink" Target="https://www.rbi.org.in/Scripts/NotificationUser.aspx?Id=11347&amp;Mode=0" TargetMode="External"/><Relationship Id="rId60" Type="http://schemas.openxmlformats.org/officeDocument/2006/relationships/hyperlink" Target="https://m.rbi.org.in/Scripts/NotificationUser.aspx?Id=11602&amp;Mode=0" TargetMode="External"/><Relationship Id="rId81" Type="http://schemas.openxmlformats.org/officeDocument/2006/relationships/hyperlink" Target="https://www.rbi.org.in/Scripts/BS_PressReleaseDisplay.aspx?prid=54187" TargetMode="External"/><Relationship Id="rId135" Type="http://schemas.openxmlformats.org/officeDocument/2006/relationships/hyperlink" Target="https://www.rbi.org.in/Scripts/NotificationUser.aspx?Id=12400&amp;Mode=0" TargetMode="External"/><Relationship Id="rId156" Type="http://schemas.openxmlformats.org/officeDocument/2006/relationships/hyperlink" Target="https://www.rbi.org.in/Scripts/NotificationUser.aspx?Id=8934&amp;Mode=0" TargetMode="External"/><Relationship Id="rId177" Type="http://schemas.openxmlformats.org/officeDocument/2006/relationships/hyperlink" Target="https://m.rbi.org.in/scripts/FS_Notification.aspx?Id=12418&amp;fn=2755&amp;Mode=0" TargetMode="External"/><Relationship Id="rId198" Type="http://schemas.openxmlformats.org/officeDocument/2006/relationships/hyperlink" Target="https://m.rbi.org.in/scripts/FS_Notification.aspx?Id=12431&amp;fn=9&amp;Mode=0" TargetMode="External"/><Relationship Id="rId202" Type="http://schemas.openxmlformats.org/officeDocument/2006/relationships/fontTable" Target="fontTable.xml"/><Relationship Id="rId18" Type="http://schemas.openxmlformats.org/officeDocument/2006/relationships/hyperlink" Target="https://www.rbi.org.in/Scripts/NotificationUser.aspx?Id=12099&amp;Mode=0" TargetMode="External"/><Relationship Id="rId39" Type="http://schemas.openxmlformats.org/officeDocument/2006/relationships/hyperlink" Target="https://www.rbi.org.in/scripts/FS_Notification.aspx?Id=12377&amp;fn=5&amp;Mode=0" TargetMode="External"/><Relationship Id="rId50" Type="http://schemas.openxmlformats.org/officeDocument/2006/relationships/hyperlink" Target="https://www.rbi.org.in/Scripts/NotificationUser.aspx?Id=12192&amp;Mode=0" TargetMode="External"/><Relationship Id="rId104" Type="http://schemas.openxmlformats.org/officeDocument/2006/relationships/hyperlink" Target="https://rbi.org.in/Scripts/NotificationUser.aspx?Id=12389&amp;Mode=0" TargetMode="External"/><Relationship Id="rId125" Type="http://schemas.openxmlformats.org/officeDocument/2006/relationships/hyperlink" Target="https://m.rbi.org.in/scripts/FS_Notification.aspx?Id=12398&amp;fn=6&amp;Mode=0" TargetMode="External"/><Relationship Id="rId146" Type="http://schemas.openxmlformats.org/officeDocument/2006/relationships/hyperlink" Target="https://rbi.org.in/Scripts/NotificationUser.aspx?Id=10128&amp;Mode=0" TargetMode="External"/><Relationship Id="rId167" Type="http://schemas.openxmlformats.org/officeDocument/2006/relationships/hyperlink" Target="https://www.rbi.org.in/Scripts/NotificationUser.aspx?Id=12415&amp;Mode=0" TargetMode="External"/><Relationship Id="rId188" Type="http://schemas.openxmlformats.org/officeDocument/2006/relationships/hyperlink" Target="https://www.rbi.org.in/Scripts/BS_ViewMasDirections.aspx?id=12427" TargetMode="External"/><Relationship Id="rId71" Type="http://schemas.openxmlformats.org/officeDocument/2006/relationships/hyperlink" Target="https://rbi.org.in/scripts/FS_Notification.aspx?Id=12378&amp;fn=2&amp;Mode=0" TargetMode="External"/><Relationship Id="rId92" Type="http://schemas.openxmlformats.org/officeDocument/2006/relationships/hyperlink" Target="https://rbi.org.in/Scripts/BS_PressReleaseDisplay.aspx?prid=54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19618</Words>
  <Characters>111826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soumya P</cp:lastModifiedBy>
  <cp:revision>2</cp:revision>
  <dcterms:created xsi:type="dcterms:W3CDTF">2023-03-06T07:37:00Z</dcterms:created>
  <dcterms:modified xsi:type="dcterms:W3CDTF">2023-03-06T07:37:00Z</dcterms:modified>
</cp:coreProperties>
</file>